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lang w:val="en-US" w:eastAsia="zh-CN"/>
        </w:rPr>
        <w:t>赣州市</w:t>
      </w:r>
      <w:bookmarkStart w:id="0" w:name="_GoBack"/>
      <w:bookmarkEnd w:id="0"/>
      <w:r>
        <w:rPr>
          <w:rFonts w:hint="eastAsia" w:ascii="方正小标宋简体" w:hAnsi="仿宋" w:eastAsia="方正小标宋简体" w:cs="方正仿宋简体"/>
          <w:color w:val="000000"/>
          <w:sz w:val="32"/>
          <w:szCs w:val="32"/>
          <w:lang w:eastAsia="zh-CN"/>
        </w:rPr>
        <w:t>插头插座</w:t>
      </w:r>
      <w:r>
        <w:rPr>
          <w:rFonts w:hint="eastAsia" w:ascii="方正小标宋简体" w:hAnsi="仿宋" w:eastAsia="方正小标宋简体" w:cs="方正仿宋简体"/>
          <w:color w:val="000000"/>
          <w:sz w:val="32"/>
          <w:szCs w:val="32"/>
        </w:rPr>
        <w:t>产品质量监督抽查实施细则</w:t>
      </w:r>
    </w:p>
    <w:p>
      <w:pPr>
        <w:spacing w:line="440" w:lineRule="exact"/>
        <w:jc w:val="center"/>
        <w:rPr>
          <w:rFonts w:eastAsia="方正小标宋简体"/>
          <w:color w:val="000000"/>
          <w:sz w:val="32"/>
          <w:szCs w:val="32"/>
        </w:rPr>
      </w:pPr>
      <w:r>
        <w:rPr>
          <w:rFonts w:eastAsia="方正小标宋简体"/>
          <w:color w:val="000000"/>
          <w:sz w:val="32"/>
          <w:szCs w:val="32"/>
        </w:rPr>
        <w:t>（2024年版）</w:t>
      </w:r>
    </w:p>
    <w:p>
      <w:pPr>
        <w:spacing w:line="440" w:lineRule="exact"/>
        <w:jc w:val="center"/>
        <w:rPr>
          <w:rFonts w:eastAsia="方正小标宋简体"/>
          <w:color w:val="000000"/>
          <w:sz w:val="32"/>
          <w:szCs w:val="32"/>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抽取样品12只，其中6只样品作为检验样品，6只作为备用样品。</w:t>
      </w:r>
    </w:p>
    <w:p>
      <w:pPr>
        <w:snapToGrid w:val="0"/>
        <w:spacing w:line="440" w:lineRule="exact"/>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widowControl/>
        <w:spacing w:line="360" w:lineRule="auto"/>
        <w:jc w:val="center"/>
        <w:rPr>
          <w:rFonts w:hint="eastAsia" w:ascii="宋体" w:hAnsi="宋体"/>
          <w:color w:val="000000"/>
          <w:szCs w:val="21"/>
        </w:rPr>
      </w:pPr>
      <w:r>
        <w:rPr>
          <w:rFonts w:hint="eastAsia"/>
          <w:color w:val="000000"/>
          <w:szCs w:val="21"/>
        </w:rPr>
        <w:t>表</w:t>
      </w:r>
      <w:r>
        <w:rPr>
          <w:rFonts w:hint="eastAsia"/>
          <w:color w:val="000000"/>
          <w:szCs w:val="21"/>
          <w:lang w:val="en-US" w:eastAsia="zh-CN"/>
        </w:rPr>
        <w:t xml:space="preserve">1  </w:t>
      </w:r>
      <w:r>
        <w:rPr>
          <w:rFonts w:hint="eastAsia"/>
          <w:color w:val="000000"/>
          <w:szCs w:val="21"/>
          <w:lang w:eastAsia="zh-CN"/>
        </w:rPr>
        <w:t>插头插座</w:t>
      </w:r>
      <w:r>
        <w:rPr>
          <w:rFonts w:hint="eastAsia"/>
          <w:color w:val="000000"/>
          <w:szCs w:val="21"/>
        </w:rPr>
        <w:t>产品检验项目、依据、方法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2793"/>
        <w:gridCol w:w="2835"/>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blHeader/>
          <w:jc w:val="center"/>
        </w:trPr>
        <w:tc>
          <w:tcPr>
            <w:tcW w:w="842" w:type="dxa"/>
            <w:vMerge w:val="restart"/>
            <w:noWrap w:val="0"/>
            <w:vAlign w:val="center"/>
          </w:tcPr>
          <w:p>
            <w:pPr>
              <w:snapToGrid w:val="0"/>
              <w:jc w:val="center"/>
              <w:rPr>
                <w:rFonts w:hint="eastAsia"/>
                <w:szCs w:val="21"/>
              </w:rPr>
            </w:pPr>
            <w:r>
              <w:rPr>
                <w:szCs w:val="21"/>
              </w:rPr>
              <w:t>序号</w:t>
            </w:r>
          </w:p>
        </w:tc>
        <w:tc>
          <w:tcPr>
            <w:tcW w:w="2793" w:type="dxa"/>
            <w:vMerge w:val="restart"/>
            <w:noWrap w:val="0"/>
            <w:vAlign w:val="center"/>
          </w:tcPr>
          <w:p>
            <w:pPr>
              <w:snapToGrid w:val="0"/>
              <w:jc w:val="center"/>
              <w:rPr>
                <w:rFonts w:hint="eastAsia"/>
                <w:szCs w:val="21"/>
              </w:rPr>
            </w:pPr>
            <w:r>
              <w:rPr>
                <w:szCs w:val="21"/>
              </w:rPr>
              <w:t>检验项目</w:t>
            </w:r>
          </w:p>
        </w:tc>
        <w:tc>
          <w:tcPr>
            <w:tcW w:w="2835" w:type="dxa"/>
            <w:vMerge w:val="restart"/>
            <w:noWrap w:val="0"/>
            <w:vAlign w:val="center"/>
          </w:tcPr>
          <w:p>
            <w:pPr>
              <w:snapToGrid w:val="0"/>
              <w:jc w:val="center"/>
              <w:rPr>
                <w:rFonts w:hint="eastAsia"/>
                <w:szCs w:val="21"/>
              </w:rPr>
            </w:pPr>
            <w:r>
              <w:rPr>
                <w:szCs w:val="21"/>
              </w:rPr>
              <w:t>检验依据</w:t>
            </w:r>
          </w:p>
        </w:tc>
        <w:tc>
          <w:tcPr>
            <w:tcW w:w="2877" w:type="dxa"/>
            <w:vMerge w:val="restart"/>
            <w:noWrap w:val="0"/>
            <w:vAlign w:val="center"/>
          </w:tcPr>
          <w:p>
            <w:pPr>
              <w:snapToGrid w:val="0"/>
              <w:jc w:val="center"/>
              <w:rPr>
                <w:rFonts w:hint="eastAsia"/>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842" w:type="dxa"/>
            <w:vMerge w:val="continue"/>
            <w:noWrap w:val="0"/>
            <w:vAlign w:val="center"/>
          </w:tcPr>
          <w:p>
            <w:pPr>
              <w:widowControl/>
              <w:snapToGrid w:val="0"/>
              <w:spacing w:line="360" w:lineRule="auto"/>
              <w:jc w:val="center"/>
              <w:rPr>
                <w:rFonts w:ascii="宋体" w:hAnsi="宋体"/>
                <w:color w:val="000000"/>
                <w:szCs w:val="21"/>
              </w:rPr>
            </w:pPr>
          </w:p>
        </w:tc>
        <w:tc>
          <w:tcPr>
            <w:tcW w:w="2793" w:type="dxa"/>
            <w:vMerge w:val="continue"/>
            <w:noWrap w:val="0"/>
            <w:vAlign w:val="center"/>
          </w:tcPr>
          <w:p>
            <w:pPr>
              <w:widowControl/>
              <w:snapToGrid w:val="0"/>
              <w:spacing w:line="360" w:lineRule="auto"/>
              <w:jc w:val="center"/>
              <w:rPr>
                <w:rFonts w:ascii="宋体" w:hAnsi="宋体"/>
                <w:color w:val="000000"/>
                <w:szCs w:val="21"/>
              </w:rPr>
            </w:pPr>
          </w:p>
        </w:tc>
        <w:tc>
          <w:tcPr>
            <w:tcW w:w="2835" w:type="dxa"/>
            <w:vMerge w:val="continue"/>
            <w:noWrap w:val="0"/>
            <w:vAlign w:val="center"/>
          </w:tcPr>
          <w:p>
            <w:pPr>
              <w:widowControl/>
              <w:snapToGrid w:val="0"/>
              <w:spacing w:line="360" w:lineRule="auto"/>
              <w:jc w:val="center"/>
              <w:rPr>
                <w:rFonts w:ascii="宋体" w:hAnsi="宋体"/>
                <w:color w:val="000000"/>
                <w:szCs w:val="21"/>
              </w:rPr>
            </w:pPr>
          </w:p>
        </w:tc>
        <w:tc>
          <w:tcPr>
            <w:tcW w:w="2877" w:type="dxa"/>
            <w:vMerge w:val="continue"/>
            <w:noWrap w:val="0"/>
            <w:vAlign w:val="center"/>
          </w:tcPr>
          <w:p>
            <w:pPr>
              <w:widowControl/>
              <w:snapToGrid w:val="0"/>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eastAsia="宋体"/>
                <w:lang w:eastAsia="zh-CN"/>
              </w:rPr>
            </w:pPr>
            <w:r>
              <w:rPr>
                <w:rFonts w:hint="eastAsia"/>
                <w:lang w:val="en-US" w:eastAsia="zh-CN"/>
              </w:rPr>
              <w:t>1</w:t>
            </w:r>
          </w:p>
        </w:tc>
        <w:tc>
          <w:tcPr>
            <w:tcW w:w="2793" w:type="dxa"/>
            <w:noWrap w:val="0"/>
            <w:vAlign w:val="center"/>
          </w:tcPr>
          <w:p>
            <w:pPr>
              <w:snapToGrid w:val="0"/>
              <w:spacing w:line="440" w:lineRule="exact"/>
              <w:jc w:val="center"/>
              <w:rPr>
                <w:color w:val="000000"/>
                <w:szCs w:val="21"/>
              </w:rPr>
            </w:pPr>
            <w:r>
              <w:rPr>
                <w:kern w:val="0"/>
                <w:szCs w:val="21"/>
              </w:rPr>
              <w:t>接地措施</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jc w:val="center"/>
            </w:pPr>
            <w:r>
              <w:rPr>
                <w:rFonts w:hint="eastAsia" w:ascii="宋体" w:hAnsi="宋体"/>
                <w:szCs w:val="21"/>
              </w:rPr>
              <w:t>JB/T12148-2015</w:t>
            </w:r>
          </w:p>
        </w:tc>
        <w:tc>
          <w:tcPr>
            <w:tcW w:w="2877"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jc w:val="center"/>
            </w:pPr>
            <w:r>
              <w:rPr>
                <w:rFonts w:hint="eastAsia" w:ascii="宋体" w:hAnsi="宋体"/>
                <w:szCs w:val="21"/>
              </w:rPr>
              <w:t>JB/T12148-2015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kern w:val="2"/>
                <w:sz w:val="21"/>
                <w:szCs w:val="22"/>
                <w:lang w:val="en-US" w:eastAsia="zh-CN" w:bidi="ar-SA"/>
              </w:rPr>
            </w:pPr>
            <w:r>
              <w:rPr>
                <w:rFonts w:hint="eastAsia"/>
              </w:rPr>
              <w:t>2</w:t>
            </w:r>
          </w:p>
        </w:tc>
        <w:tc>
          <w:tcPr>
            <w:tcW w:w="2793" w:type="dxa"/>
            <w:noWrap w:val="0"/>
            <w:vAlign w:val="center"/>
          </w:tcPr>
          <w:p>
            <w:pPr>
              <w:snapToGrid w:val="0"/>
              <w:spacing w:line="288" w:lineRule="auto"/>
              <w:jc w:val="center"/>
              <w:rPr>
                <w:kern w:val="0"/>
                <w:szCs w:val="21"/>
              </w:rPr>
            </w:pPr>
            <w:r>
              <w:rPr>
                <w:kern w:val="0"/>
                <w:szCs w:val="21"/>
              </w:rPr>
              <w:t>固定式插座的结构</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pPr>
            <w:r>
              <w:rPr>
                <w:rFonts w:hint="eastAsia" w:ascii="宋体" w:hAnsi="宋体"/>
                <w:szCs w:val="21"/>
              </w:rPr>
              <w:t>GB/T2099.3-2022</w:t>
            </w:r>
          </w:p>
        </w:tc>
        <w:tc>
          <w:tcPr>
            <w:tcW w:w="2877"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pPr>
            <w:r>
              <w:rPr>
                <w:rFonts w:hint="eastAsia" w:ascii="宋体" w:hAnsi="宋体"/>
                <w:szCs w:val="21"/>
              </w:rPr>
              <w:t>GB/T2099.3-2022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kern w:val="2"/>
                <w:sz w:val="21"/>
                <w:szCs w:val="22"/>
                <w:lang w:val="en-US" w:eastAsia="zh-CN" w:bidi="ar-SA"/>
              </w:rPr>
            </w:pPr>
            <w:r>
              <w:rPr>
                <w:rFonts w:hint="eastAsia"/>
              </w:rPr>
              <w:t>3</w:t>
            </w:r>
          </w:p>
        </w:tc>
        <w:tc>
          <w:tcPr>
            <w:tcW w:w="2793" w:type="dxa"/>
            <w:noWrap w:val="0"/>
            <w:vAlign w:val="center"/>
          </w:tcPr>
          <w:p>
            <w:pPr>
              <w:snapToGrid w:val="0"/>
              <w:spacing w:line="288" w:lineRule="auto"/>
              <w:jc w:val="center"/>
              <w:rPr>
                <w:color w:val="000000"/>
                <w:szCs w:val="21"/>
              </w:rPr>
            </w:pPr>
            <w:r>
              <w:rPr>
                <w:kern w:val="0"/>
                <w:szCs w:val="21"/>
              </w:rPr>
              <w:t>插头和移动式插座的结构</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pPr>
            <w:r>
              <w:rPr>
                <w:rFonts w:hint="eastAsia" w:ascii="宋体" w:hAnsi="宋体"/>
                <w:szCs w:val="21"/>
              </w:rPr>
              <w:t>GB/T2099.3-2022</w:t>
            </w:r>
          </w:p>
        </w:tc>
        <w:tc>
          <w:tcPr>
            <w:tcW w:w="2877"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pPr>
            <w:r>
              <w:rPr>
                <w:rFonts w:hint="eastAsia" w:ascii="宋体" w:hAnsi="宋体"/>
                <w:szCs w:val="21"/>
              </w:rPr>
              <w:t>GB/T2099.3-2022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kern w:val="2"/>
                <w:sz w:val="21"/>
                <w:szCs w:val="22"/>
                <w:lang w:val="en-US" w:eastAsia="zh-CN" w:bidi="ar-SA"/>
              </w:rPr>
            </w:pPr>
            <w:r>
              <w:rPr>
                <w:rFonts w:hint="eastAsia"/>
              </w:rPr>
              <w:t>4</w:t>
            </w:r>
          </w:p>
        </w:tc>
        <w:tc>
          <w:tcPr>
            <w:tcW w:w="2793" w:type="dxa"/>
            <w:noWrap w:val="0"/>
            <w:vAlign w:val="center"/>
          </w:tcPr>
          <w:p>
            <w:pPr>
              <w:snapToGrid w:val="0"/>
              <w:spacing w:line="440" w:lineRule="exact"/>
              <w:jc w:val="center"/>
              <w:rPr>
                <w:color w:val="000000"/>
                <w:szCs w:val="21"/>
              </w:rPr>
            </w:pPr>
            <w:r>
              <w:rPr>
                <w:kern w:val="0"/>
                <w:szCs w:val="21"/>
              </w:rPr>
              <w:t>防潮</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adjustRightInd w:val="0"/>
              <w:jc w:val="center"/>
            </w:pPr>
            <w:r>
              <w:rPr>
                <w:rFonts w:hint="eastAsia" w:ascii="宋体" w:hAnsi="宋体"/>
                <w:szCs w:val="21"/>
              </w:rPr>
              <w:t>GB/T2099.7-2015</w:t>
            </w:r>
          </w:p>
        </w:tc>
        <w:tc>
          <w:tcPr>
            <w:tcW w:w="2877"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adjustRightInd w:val="0"/>
              <w:jc w:val="center"/>
            </w:pPr>
            <w:r>
              <w:rPr>
                <w:rFonts w:hint="eastAsia" w:ascii="宋体" w:hAnsi="宋体"/>
                <w:szCs w:val="21"/>
              </w:rPr>
              <w:t>GB/T2099.7-2015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kern w:val="2"/>
                <w:sz w:val="21"/>
                <w:szCs w:val="22"/>
                <w:lang w:val="en-US" w:eastAsia="zh-CN" w:bidi="ar-SA"/>
              </w:rPr>
            </w:pPr>
            <w:r>
              <w:rPr>
                <w:rFonts w:hint="eastAsia"/>
              </w:rPr>
              <w:t>5</w:t>
            </w:r>
          </w:p>
        </w:tc>
        <w:tc>
          <w:tcPr>
            <w:tcW w:w="2793" w:type="dxa"/>
            <w:noWrap w:val="0"/>
            <w:vAlign w:val="center"/>
          </w:tcPr>
          <w:p>
            <w:pPr>
              <w:snapToGrid w:val="0"/>
              <w:spacing w:line="440" w:lineRule="exact"/>
              <w:jc w:val="center"/>
              <w:rPr>
                <w:color w:val="000000"/>
                <w:szCs w:val="21"/>
              </w:rPr>
            </w:pPr>
            <w:r>
              <w:rPr>
                <w:kern w:val="0"/>
                <w:szCs w:val="21"/>
              </w:rPr>
              <w:t>绝缘电阻和电气强度</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adjustRightInd w:val="0"/>
              <w:jc w:val="center"/>
              <w:rPr>
                <w:rFonts w:hint="eastAsia" w:ascii="宋体" w:hAnsi="宋体"/>
                <w:szCs w:val="21"/>
              </w:rPr>
            </w:pPr>
            <w:r>
              <w:rPr>
                <w:rFonts w:hint="eastAsia" w:ascii="宋体" w:hAnsi="宋体"/>
                <w:szCs w:val="21"/>
              </w:rPr>
              <w:t>GB/T2099.7-2015</w:t>
            </w:r>
          </w:p>
          <w:p>
            <w:pPr>
              <w:jc w:val="center"/>
            </w:pPr>
            <w:r>
              <w:rPr>
                <w:rFonts w:hint="eastAsia" w:ascii="宋体" w:hAnsi="宋体"/>
                <w:szCs w:val="21"/>
              </w:rPr>
              <w:t>JB/T12148-2015</w:t>
            </w:r>
          </w:p>
        </w:tc>
        <w:tc>
          <w:tcPr>
            <w:tcW w:w="2877"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adjustRightInd w:val="0"/>
              <w:jc w:val="center"/>
              <w:rPr>
                <w:rFonts w:hint="eastAsia" w:ascii="宋体" w:hAnsi="宋体"/>
                <w:szCs w:val="21"/>
              </w:rPr>
            </w:pPr>
            <w:r>
              <w:rPr>
                <w:rFonts w:hint="eastAsia" w:ascii="宋体" w:hAnsi="宋体"/>
                <w:szCs w:val="21"/>
              </w:rPr>
              <w:t>GB/T2099.7-2015</w:t>
            </w:r>
          </w:p>
          <w:p>
            <w:pPr>
              <w:jc w:val="center"/>
            </w:pPr>
            <w:r>
              <w:rPr>
                <w:rFonts w:hint="eastAsia" w:ascii="宋体" w:hAnsi="宋体"/>
                <w:szCs w:val="21"/>
              </w:rPr>
              <w:t>JB/T12148-2015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kern w:val="2"/>
                <w:sz w:val="21"/>
                <w:szCs w:val="22"/>
                <w:lang w:val="en-US" w:eastAsia="zh-CN" w:bidi="ar-SA"/>
              </w:rPr>
            </w:pPr>
            <w:r>
              <w:rPr>
                <w:rFonts w:hint="eastAsia"/>
              </w:rPr>
              <w:t>6</w:t>
            </w:r>
          </w:p>
        </w:tc>
        <w:tc>
          <w:tcPr>
            <w:tcW w:w="2793" w:type="dxa"/>
            <w:noWrap w:val="0"/>
            <w:vAlign w:val="center"/>
          </w:tcPr>
          <w:p>
            <w:pPr>
              <w:snapToGrid w:val="0"/>
              <w:spacing w:line="440" w:lineRule="exact"/>
              <w:jc w:val="center"/>
              <w:rPr>
                <w:color w:val="000000"/>
                <w:szCs w:val="21"/>
              </w:rPr>
            </w:pPr>
            <w:r>
              <w:rPr>
                <w:kern w:val="0"/>
                <w:szCs w:val="21"/>
              </w:rPr>
              <w:t>耐热</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jc w:val="center"/>
            </w:pPr>
            <w:r>
              <w:rPr>
                <w:rFonts w:hint="eastAsia" w:ascii="宋体" w:hAnsi="宋体"/>
                <w:szCs w:val="21"/>
              </w:rPr>
              <w:t>JB/T12148-2015</w:t>
            </w:r>
          </w:p>
        </w:tc>
        <w:tc>
          <w:tcPr>
            <w:tcW w:w="2877"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jc w:val="center"/>
            </w:pPr>
            <w:r>
              <w:rPr>
                <w:rFonts w:hint="eastAsia" w:ascii="宋体" w:hAnsi="宋体"/>
                <w:szCs w:val="21"/>
              </w:rPr>
              <w:t>JB/T12148-2015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eastAsia="宋体"/>
                <w:lang w:eastAsia="zh-CN"/>
              </w:rPr>
            </w:pPr>
            <w:r>
              <w:rPr>
                <w:rFonts w:hint="eastAsia"/>
                <w:lang w:val="en-US" w:eastAsia="zh-CN"/>
              </w:rPr>
              <w:t>7</w:t>
            </w:r>
          </w:p>
        </w:tc>
        <w:tc>
          <w:tcPr>
            <w:tcW w:w="2793" w:type="dxa"/>
            <w:noWrap w:val="0"/>
            <w:vAlign w:val="center"/>
          </w:tcPr>
          <w:p>
            <w:pPr>
              <w:snapToGrid w:val="0"/>
              <w:spacing w:line="440" w:lineRule="exact"/>
              <w:jc w:val="center"/>
              <w:rPr>
                <w:color w:val="000000"/>
                <w:szCs w:val="21"/>
              </w:rPr>
            </w:pPr>
            <w:r>
              <w:rPr>
                <w:kern w:val="0"/>
                <w:szCs w:val="21"/>
              </w:rPr>
              <w:t>爬电距离、电气间隙和通过密封胶的距离</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jc w:val="center"/>
            </w:pPr>
            <w:r>
              <w:rPr>
                <w:rFonts w:hint="eastAsia" w:ascii="宋体" w:hAnsi="宋体"/>
                <w:szCs w:val="21"/>
              </w:rPr>
              <w:t>JB/T12148-2015</w:t>
            </w:r>
          </w:p>
        </w:tc>
        <w:tc>
          <w:tcPr>
            <w:tcW w:w="2877" w:type="dxa"/>
            <w:noWrap w:val="0"/>
            <w:vAlign w:val="center"/>
          </w:tcPr>
          <w:p>
            <w:pPr>
              <w:adjustRightInd w:val="0"/>
              <w:jc w:val="center"/>
              <w:rPr>
                <w:rFonts w:ascii="宋体" w:hAnsi="宋体"/>
                <w:szCs w:val="21"/>
              </w:rPr>
            </w:pPr>
            <w:r>
              <w:rPr>
                <w:rFonts w:ascii="宋体" w:hAnsi="宋体"/>
                <w:szCs w:val="21"/>
              </w:rPr>
              <w:t>GB/T 5169.10-2017</w:t>
            </w:r>
          </w:p>
          <w:p>
            <w:pPr>
              <w:adjustRightInd w:val="0"/>
              <w:jc w:val="center"/>
              <w:rPr>
                <w:rFonts w:ascii="宋体" w:hAnsi="宋体"/>
                <w:szCs w:val="21"/>
              </w:rPr>
            </w:pPr>
            <w:r>
              <w:rPr>
                <w:rFonts w:ascii="宋体" w:hAnsi="宋体"/>
                <w:szCs w:val="21"/>
              </w:rPr>
              <w:t>GB/T 5169.10-2017</w:t>
            </w:r>
          </w:p>
          <w:p>
            <w:pPr>
              <w:adjustRightInd w:val="0"/>
              <w:jc w:val="center"/>
              <w:rPr>
                <w:rFonts w:hint="eastAsia" w:ascii="宋体" w:hAnsi="宋体"/>
                <w:szCs w:val="21"/>
              </w:rPr>
            </w:pPr>
            <w:r>
              <w:rPr>
                <w:rFonts w:hint="eastAsia" w:ascii="宋体" w:hAnsi="宋体"/>
                <w:szCs w:val="21"/>
              </w:rPr>
              <w:t>GB/T 4207-2022</w:t>
            </w:r>
          </w:p>
          <w:p>
            <w:pPr>
              <w:adjustRightInd w:val="0"/>
              <w:jc w:val="center"/>
              <w:rPr>
                <w:rFonts w:hint="eastAsia" w:ascii="宋体" w:hAnsi="宋体"/>
                <w:szCs w:val="21"/>
              </w:rPr>
            </w:pPr>
            <w:r>
              <w:rPr>
                <w:rFonts w:hint="eastAsia" w:ascii="宋体" w:hAnsi="宋体"/>
                <w:szCs w:val="21"/>
              </w:rPr>
              <w:t>JB/T12148-2015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42" w:type="dxa"/>
            <w:noWrap w:val="0"/>
            <w:vAlign w:val="center"/>
          </w:tcPr>
          <w:p>
            <w:pPr>
              <w:jc w:val="center"/>
              <w:rPr>
                <w:rFonts w:hint="eastAsia" w:eastAsia="宋体"/>
                <w:lang w:eastAsia="zh-CN"/>
              </w:rPr>
            </w:pPr>
            <w:r>
              <w:rPr>
                <w:rFonts w:hint="eastAsia"/>
                <w:lang w:val="en-US" w:eastAsia="zh-CN"/>
              </w:rPr>
              <w:t>8</w:t>
            </w:r>
          </w:p>
        </w:tc>
        <w:tc>
          <w:tcPr>
            <w:tcW w:w="2793" w:type="dxa"/>
            <w:noWrap w:val="0"/>
            <w:vAlign w:val="center"/>
          </w:tcPr>
          <w:p>
            <w:pPr>
              <w:snapToGrid w:val="0"/>
              <w:spacing w:line="440" w:lineRule="exact"/>
              <w:jc w:val="center"/>
              <w:rPr>
                <w:color w:val="000000"/>
                <w:szCs w:val="21"/>
              </w:rPr>
            </w:pPr>
            <w:r>
              <w:rPr>
                <w:kern w:val="0"/>
                <w:szCs w:val="21"/>
              </w:rPr>
              <w:t>绝缘材料的耐非正常热、耐燃和耐电痕化</w:t>
            </w:r>
          </w:p>
        </w:tc>
        <w:tc>
          <w:tcPr>
            <w:tcW w:w="2835"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adjustRightInd w:val="0"/>
              <w:jc w:val="center"/>
              <w:rPr>
                <w:rFonts w:hint="eastAsia" w:ascii="宋体" w:hAnsi="宋体"/>
                <w:szCs w:val="21"/>
              </w:rPr>
            </w:pPr>
            <w:r>
              <w:rPr>
                <w:rFonts w:hint="eastAsia" w:ascii="宋体" w:hAnsi="宋体"/>
                <w:szCs w:val="21"/>
              </w:rPr>
              <w:t>GB/T2099.7-2015</w:t>
            </w:r>
          </w:p>
          <w:p>
            <w:pPr>
              <w:jc w:val="center"/>
            </w:pPr>
            <w:r>
              <w:rPr>
                <w:rFonts w:hint="eastAsia" w:ascii="宋体" w:hAnsi="宋体"/>
                <w:szCs w:val="21"/>
              </w:rPr>
              <w:t>JB/T12148-2015</w:t>
            </w:r>
          </w:p>
        </w:tc>
        <w:tc>
          <w:tcPr>
            <w:tcW w:w="2877" w:type="dxa"/>
            <w:noWrap w:val="0"/>
            <w:vAlign w:val="center"/>
          </w:tcPr>
          <w:p>
            <w:pPr>
              <w:adjustRightInd w:val="0"/>
              <w:jc w:val="center"/>
              <w:rPr>
                <w:rFonts w:hint="eastAsia" w:ascii="宋体" w:hAnsi="宋体"/>
                <w:szCs w:val="21"/>
              </w:rPr>
            </w:pPr>
            <w:r>
              <w:rPr>
                <w:rFonts w:hint="eastAsia" w:ascii="宋体" w:hAnsi="宋体"/>
                <w:szCs w:val="21"/>
              </w:rPr>
              <w:t>GB/T2099.1-2021</w:t>
            </w:r>
          </w:p>
          <w:p>
            <w:pPr>
              <w:adjustRightInd w:val="0"/>
              <w:jc w:val="center"/>
              <w:rPr>
                <w:rFonts w:hint="eastAsia" w:ascii="宋体" w:hAnsi="宋体"/>
                <w:szCs w:val="21"/>
              </w:rPr>
            </w:pPr>
            <w:r>
              <w:rPr>
                <w:rFonts w:hint="eastAsia" w:ascii="宋体" w:hAnsi="宋体"/>
                <w:szCs w:val="21"/>
              </w:rPr>
              <w:t>GB/T2099.3-2022</w:t>
            </w:r>
          </w:p>
          <w:p>
            <w:pPr>
              <w:adjustRightInd w:val="0"/>
              <w:jc w:val="center"/>
              <w:rPr>
                <w:rFonts w:hint="eastAsia" w:ascii="宋体" w:hAnsi="宋体"/>
                <w:szCs w:val="21"/>
              </w:rPr>
            </w:pPr>
            <w:r>
              <w:rPr>
                <w:rFonts w:hint="eastAsia" w:ascii="宋体" w:hAnsi="宋体"/>
                <w:szCs w:val="21"/>
              </w:rPr>
              <w:t>GB/T2099.7-2015</w:t>
            </w:r>
          </w:p>
          <w:p>
            <w:pPr>
              <w:jc w:val="center"/>
            </w:pPr>
            <w:r>
              <w:rPr>
                <w:rFonts w:hint="eastAsia" w:ascii="宋体" w:hAnsi="宋体"/>
                <w:szCs w:val="21"/>
              </w:rPr>
              <w:t>JB/T12148-2015</w:t>
            </w:r>
          </w:p>
        </w:tc>
      </w:tr>
    </w:tbl>
    <w:p>
      <w:pPr>
        <w:snapToGrid w:val="0"/>
        <w:spacing w:line="440" w:lineRule="exact"/>
        <w:ind w:firstLine="359" w:firstLineChars="171"/>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color w:val="000000"/>
          <w:szCs w:val="21"/>
        </w:rPr>
        <w:t>3.1</w:t>
      </w:r>
      <w:r>
        <w:rPr>
          <w:rFonts w:hint="eastAsia" w:ascii="宋体" w:hAnsi="宋体"/>
          <w:color w:val="000000"/>
          <w:szCs w:val="21"/>
        </w:rPr>
        <w:t>依据标准</w:t>
      </w:r>
    </w:p>
    <w:p>
      <w:pPr>
        <w:snapToGrid w:val="0"/>
        <w:spacing w:line="440" w:lineRule="exact"/>
        <w:ind w:firstLine="359" w:firstLineChars="171"/>
        <w:rPr>
          <w:rFonts w:hint="eastAsia"/>
          <w:color w:val="000000"/>
          <w:szCs w:val="21"/>
        </w:rPr>
      </w:pPr>
      <w:r>
        <w:rPr>
          <w:rFonts w:hint="eastAsia"/>
          <w:color w:val="000000"/>
          <w:szCs w:val="21"/>
        </w:rPr>
        <w:t>GB/T 2099.1-2021 家用和类似用途插头插座 第1部分：通用要求</w:t>
      </w:r>
    </w:p>
    <w:p>
      <w:pPr>
        <w:snapToGrid w:val="0"/>
        <w:spacing w:line="440" w:lineRule="exact"/>
        <w:ind w:firstLine="359" w:firstLineChars="171"/>
        <w:rPr>
          <w:rFonts w:hint="eastAsia"/>
          <w:color w:val="000000"/>
          <w:szCs w:val="21"/>
        </w:rPr>
      </w:pPr>
      <w:r>
        <w:rPr>
          <w:rFonts w:hint="eastAsia"/>
          <w:color w:val="000000"/>
          <w:szCs w:val="21"/>
        </w:rPr>
        <w:t>GB/T 2099.3-2022 家用和类似用途插头插座 第2-5部分：转换器的特殊要求</w:t>
      </w:r>
    </w:p>
    <w:p>
      <w:pPr>
        <w:snapToGrid w:val="0"/>
        <w:spacing w:line="440" w:lineRule="exact"/>
        <w:ind w:firstLine="359" w:firstLineChars="171"/>
        <w:rPr>
          <w:rFonts w:hint="eastAsia"/>
          <w:color w:val="000000"/>
          <w:szCs w:val="21"/>
        </w:rPr>
      </w:pPr>
      <w:r>
        <w:rPr>
          <w:rFonts w:hint="eastAsia"/>
          <w:color w:val="000000"/>
          <w:szCs w:val="21"/>
        </w:rPr>
        <w:t>GB/T</w:t>
      </w:r>
      <w:r>
        <w:rPr>
          <w:rFonts w:hint="eastAsia"/>
          <w:color w:val="000000"/>
          <w:szCs w:val="21"/>
          <w:lang w:val="en-US" w:eastAsia="zh-CN"/>
        </w:rPr>
        <w:t xml:space="preserve"> </w:t>
      </w:r>
      <w:r>
        <w:rPr>
          <w:rFonts w:hint="eastAsia"/>
          <w:color w:val="000000"/>
          <w:szCs w:val="21"/>
        </w:rPr>
        <w:t xml:space="preserve">2099.7-2015 </w:t>
      </w:r>
      <w:r>
        <w:rPr>
          <w:rFonts w:hint="eastAsia"/>
          <w:color w:val="000000"/>
          <w:szCs w:val="21"/>
          <w:lang w:val="en-US" w:eastAsia="zh-CN"/>
        </w:rPr>
        <w:t xml:space="preserve"> </w:t>
      </w:r>
      <w:r>
        <w:rPr>
          <w:rFonts w:hint="eastAsia"/>
          <w:color w:val="000000"/>
          <w:szCs w:val="21"/>
        </w:rPr>
        <w:t>家用和类似用途插头插座 第2-7部分：延长线插座的特殊要求</w:t>
      </w:r>
    </w:p>
    <w:p>
      <w:pPr>
        <w:snapToGrid w:val="0"/>
        <w:spacing w:line="440" w:lineRule="exact"/>
        <w:ind w:firstLine="359" w:firstLineChars="171"/>
        <w:rPr>
          <w:rFonts w:hint="eastAsia"/>
          <w:color w:val="000000"/>
          <w:szCs w:val="21"/>
        </w:rPr>
      </w:pPr>
      <w:r>
        <w:rPr>
          <w:rFonts w:hint="eastAsia"/>
          <w:color w:val="000000"/>
          <w:szCs w:val="21"/>
        </w:rPr>
        <w:t>JB/T 12148-2015 家用和类似用途带USB充电接口的插座</w:t>
      </w:r>
    </w:p>
    <w:p>
      <w:pPr>
        <w:snapToGrid w:val="0"/>
        <w:spacing w:line="440" w:lineRule="exact"/>
        <w:ind w:firstLine="359" w:firstLineChars="171"/>
        <w:rPr>
          <w:rFonts w:ascii="宋体" w:hAnsi="宋体"/>
          <w:color w:val="000000"/>
          <w:szCs w:val="21"/>
        </w:rPr>
      </w:pPr>
      <w:r>
        <w:rPr>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color w:val="000000"/>
          <w:szCs w:val="21"/>
        </w:rPr>
        <w:t>3.2</w:t>
      </w:r>
      <w:r>
        <w:rPr>
          <w:rFonts w:hint="eastAsia" w:ascii="宋体" w:hAnsi="宋体"/>
          <w:color w:val="000000"/>
          <w:szCs w:val="21"/>
        </w:rPr>
        <w:t>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20" w:firstLineChars="200"/>
        <w:rPr>
          <w:rFonts w:hint="eastAsia" w:ascii="宋体" w:hAnsi="宋体"/>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Y3YWI0ZTMwYWI3YWQzMmNhZDFhMDFiYjFmN2U2NTgifQ=="/>
    <w:docVar w:name="KSO_WPS_MARK_KEY" w:val="a46e5c42-cbec-48d6-b246-6a588a4a5c78"/>
  </w:docVars>
  <w:rsids>
    <w:rsidRoot w:val="1A047D82"/>
    <w:rsid w:val="00275C4B"/>
    <w:rsid w:val="002A5E8B"/>
    <w:rsid w:val="003C3FCD"/>
    <w:rsid w:val="00722144"/>
    <w:rsid w:val="007D74DE"/>
    <w:rsid w:val="00811CC0"/>
    <w:rsid w:val="009343EF"/>
    <w:rsid w:val="00A0504C"/>
    <w:rsid w:val="00DD19D3"/>
    <w:rsid w:val="00DE2CCB"/>
    <w:rsid w:val="00E16AFC"/>
    <w:rsid w:val="00E21C39"/>
    <w:rsid w:val="00F80B2A"/>
    <w:rsid w:val="04A4689A"/>
    <w:rsid w:val="073226E4"/>
    <w:rsid w:val="1A047D82"/>
    <w:rsid w:val="2FEC3200"/>
    <w:rsid w:val="33795318"/>
    <w:rsid w:val="37533AA9"/>
    <w:rsid w:val="43FD33AF"/>
    <w:rsid w:val="4A784481"/>
    <w:rsid w:val="4FB03051"/>
    <w:rsid w:val="51431C42"/>
    <w:rsid w:val="55197C6D"/>
    <w:rsid w:val="5715715E"/>
    <w:rsid w:val="5F541F16"/>
    <w:rsid w:val="5F9734F6"/>
    <w:rsid w:val="7C3F0DF1"/>
    <w:rsid w:val="7C4F6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kern w:val="0"/>
      <w:sz w:val="20"/>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800</Words>
  <Characters>1538</Characters>
  <Lines>8</Lines>
  <Paragraphs>2</Paragraphs>
  <TotalTime>1</TotalTime>
  <ScaleCrop>false</ScaleCrop>
  <LinksUpToDate>false</LinksUpToDate>
  <CharactersWithSpaces>1558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2023-03-06T01:49:00Z</dcterms:created>
  <dc:creator>谭凝</dc:creator>
  <cp:lastModifiedBy>Administrator</cp:lastModifiedBy>
  <dcterms:modified xsi:type="dcterms:W3CDTF">2024-06-11T01:27:37Z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430CBB69744A49A7A1EFFB30BAACEF86_13</vt:lpwstr>
  </property>
</Properties>
</file>