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C5" w:rsidRDefault="008D01C5" w:rsidP="008D01C5">
      <w:pPr>
        <w:spacing w:line="560" w:lineRule="exact"/>
        <w:rPr>
          <w:rFonts w:ascii="黑体" w:eastAsia="黑体" w:hAnsi="黑体" w:cs="黑体"/>
          <w:sz w:val="32"/>
          <w:szCs w:val="32"/>
        </w:rPr>
      </w:pPr>
      <w:r>
        <w:rPr>
          <w:rFonts w:ascii="黑体" w:eastAsia="黑体" w:hAnsi="黑体" w:cs="黑体" w:hint="eastAsia"/>
          <w:sz w:val="32"/>
          <w:szCs w:val="32"/>
        </w:rPr>
        <w:t>附件</w:t>
      </w:r>
    </w:p>
    <w:p w:rsidR="008D01C5" w:rsidRDefault="008D01C5" w:rsidP="008D01C5">
      <w:pPr>
        <w:spacing w:line="560" w:lineRule="exact"/>
        <w:jc w:val="center"/>
        <w:rPr>
          <w:rFonts w:ascii="方正小标宋简体" w:eastAsia="方正小标宋简体" w:hAnsi="方正小标宋简体" w:cs="方正小标宋简体"/>
          <w:sz w:val="44"/>
          <w:szCs w:val="44"/>
        </w:rPr>
      </w:pPr>
    </w:p>
    <w:p w:rsidR="008D01C5" w:rsidRDefault="008D01C5" w:rsidP="008D01C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赣州市高层次人才联谊会考评细则</w:t>
      </w:r>
    </w:p>
    <w:tbl>
      <w:tblPr>
        <w:tblW w:w="14676" w:type="dxa"/>
        <w:jc w:val="center"/>
        <w:tblLayout w:type="fixed"/>
        <w:tblCellMar>
          <w:top w:w="15" w:type="dxa"/>
          <w:left w:w="15" w:type="dxa"/>
          <w:bottom w:w="15" w:type="dxa"/>
          <w:right w:w="15" w:type="dxa"/>
        </w:tblCellMar>
        <w:tblLook w:val="04A0"/>
      </w:tblPr>
      <w:tblGrid>
        <w:gridCol w:w="594"/>
        <w:gridCol w:w="1718"/>
        <w:gridCol w:w="1972"/>
        <w:gridCol w:w="7608"/>
        <w:gridCol w:w="1514"/>
        <w:gridCol w:w="1270"/>
      </w:tblGrid>
      <w:tr w:rsidR="008D01C5" w:rsidTr="002A1650">
        <w:trPr>
          <w:trHeight w:val="480"/>
          <w:tblHeader/>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序号</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考评项目</w:t>
            </w:r>
          </w:p>
        </w:tc>
        <w:tc>
          <w:tcPr>
            <w:tcW w:w="9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考  评   指   标</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小计得分</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合计得分</w:t>
            </w:r>
          </w:p>
        </w:tc>
      </w:tr>
      <w:tr w:rsidR="008D01C5" w:rsidTr="002A1650">
        <w:trPr>
          <w:trHeight w:val="49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1</w:t>
            </w:r>
          </w:p>
        </w:tc>
        <w:tc>
          <w:tcPr>
            <w:tcW w:w="1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组织健全，机构设置合理（10分）</w:t>
            </w:r>
          </w:p>
        </w:tc>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联谊会按照规定的程序组建，经民政部门审查备案（3分）</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联谊会有组建（筹备）方案，方案条理清晰，要素完整，可操作性强（1分）。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49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2</w:t>
            </w: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1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联谊会经民政部门审查备案（注册登记）,已登记的年审合格（1分）。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49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3</w:t>
            </w: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1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联谊会按方案设定的程序、时间成立或换届（1分）。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1020"/>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4</w:t>
            </w: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联谊会在职人员相对稳定，入会会员人数符合组建（筹备）方案要求（5分）</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担任联谊会会长、副会长、秘书长、副秘书长、理事等领导职务的人员相对稳定，会长应是在行业内有较高影响力的高层次以上人才（2分），无特殊原因，能完成一届任期（1分）。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49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5</w:t>
            </w: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1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入会会员能达到组建（筹备）方案计划规模的90%以上（2分）。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480"/>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6</w:t>
            </w: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9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联谊会组织会员发挥作用好，入会会员能积极参加联谊会活动（2分）。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49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7</w:t>
            </w:r>
          </w:p>
        </w:tc>
        <w:tc>
          <w:tcPr>
            <w:tcW w:w="1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会员入会程序规范，手续完整（10）</w:t>
            </w:r>
          </w:p>
        </w:tc>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会员身份设置合理（4分）</w:t>
            </w: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入会会员应经过相关人才认定机构或有关部门认定的高层次以上人才（2分）。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780"/>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8</w:t>
            </w: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1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7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入会会员思想正派，为人正直，拥护中国共产党的路线、方针、政策，遵纪守法，愿为国家经济建设建言献策（2分）。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49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9</w:t>
            </w: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9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会员入会应以自愿加入为原则，入会会员个人有申请，单位有批准、联谊会有审查（3分）。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49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10</w:t>
            </w: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9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会员成份应覆盖当地多个行业，且能突出当地特色产业（3分）。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49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11</w:t>
            </w:r>
          </w:p>
        </w:tc>
        <w:tc>
          <w:tcPr>
            <w:tcW w:w="1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联谊会活动组织规范，形式多样（10分）</w:t>
            </w:r>
          </w:p>
        </w:tc>
        <w:tc>
          <w:tcPr>
            <w:tcW w:w="9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联谊会活动指导思想符合党的方针政策，符合政府主导思想（2分）。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49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12</w:t>
            </w: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9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联谊会组织活动规范，活动前有方案，活动中有记录，活动后有成果（4分）。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49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lastRenderedPageBreak/>
              <w:t>13</w:t>
            </w: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9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联谊会组织活动形式多样，能达到交流经验、增长知识、开阔视野等效果（4分）。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1020"/>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14</w:t>
            </w:r>
          </w:p>
        </w:tc>
        <w:tc>
          <w:tcPr>
            <w:tcW w:w="1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联谊会推动引才聚智效果明显（60分）</w:t>
            </w:r>
          </w:p>
        </w:tc>
        <w:tc>
          <w:tcPr>
            <w:tcW w:w="9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联谊会能为当地经济建设建言献策。围绕市委、市政府的重大决策部署和不同时期、不同阶段的中心工作，积极建言献策（政府相关部门每认可一条3分），提供务实参考，开展服务活动，组织专家进行科技攻关及开展各项专业技术培训（每组织1次培训或服务活动2分）（本条共20分封顶）。</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780"/>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15</w:t>
            </w: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9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联谊会能为促进当地企事业单位发展，提供有力平台支撑，能为协助企事业单位促成项目合作、技术合作、资源共享等（每促成1项合作5分，本条共20分封顶）。</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960"/>
          <w:jc w:val="center"/>
        </w:trPr>
        <w:tc>
          <w:tcPr>
            <w:tcW w:w="594" w:type="dxa"/>
            <w:tcBorders>
              <w:top w:val="single" w:sz="4" w:space="0" w:color="000000"/>
              <w:left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16</w:t>
            </w: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9580" w:type="dxa"/>
            <w:gridSpan w:val="2"/>
            <w:tcBorders>
              <w:top w:val="single" w:sz="4" w:space="0" w:color="000000"/>
              <w:left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联谊会能为当地人才引进搭建平台，能完成年内制订的引才目标，能通过会员引才聚智。引进1名A类以上人才20分（20分封顶），引进1名B类人才5分（20分封顶），引进1名C类人才3分（18分封顶),引进1名D类人才2分（18分封顶），如引进的人才中即有B类又有C类或D类人才最高18分封顶。</w:t>
            </w:r>
          </w:p>
        </w:tc>
        <w:tc>
          <w:tcPr>
            <w:tcW w:w="1514" w:type="dxa"/>
            <w:shd w:val="clear" w:color="auto" w:fill="auto"/>
            <w:vAlign w:val="center"/>
          </w:tcPr>
          <w:p w:rsidR="008D01C5" w:rsidRDefault="008D01C5" w:rsidP="002A1650">
            <w:pPr>
              <w:rPr>
                <w:rFonts w:ascii="宋体" w:hAnsi="宋体"/>
                <w:color w:val="000000"/>
                <w:sz w:val="22"/>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49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17</w:t>
            </w:r>
          </w:p>
        </w:tc>
        <w:tc>
          <w:tcPr>
            <w:tcW w:w="1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联谊会活动经费收支手续完整，开支项目合理（10分）</w:t>
            </w:r>
          </w:p>
        </w:tc>
        <w:tc>
          <w:tcPr>
            <w:tcW w:w="9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建立健全财务管理制度（2分）；规范使用各种票据（1分）。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49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18</w:t>
            </w: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9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固定资产、财务管理有专人负责，能做到账物相符，收支合法、合规（4分）。</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495"/>
          <w:jc w:val="center"/>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宋体" w:hAnsi="宋体"/>
                <w:color w:val="000000"/>
                <w:sz w:val="22"/>
              </w:rPr>
            </w:pPr>
            <w:r>
              <w:rPr>
                <w:rFonts w:ascii="宋体" w:hAnsi="宋体" w:hint="eastAsia"/>
                <w:color w:val="000000"/>
                <w:kern w:val="0"/>
                <w:sz w:val="22"/>
                <w:lang/>
              </w:rPr>
              <w:t>19</w:t>
            </w:r>
          </w:p>
        </w:tc>
        <w:tc>
          <w:tcPr>
            <w:tcW w:w="1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c>
          <w:tcPr>
            <w:tcW w:w="9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left"/>
              <w:textAlignment w:val="center"/>
              <w:rPr>
                <w:rFonts w:ascii="宋体" w:hAnsi="宋体"/>
                <w:color w:val="000000"/>
                <w:sz w:val="22"/>
              </w:rPr>
            </w:pPr>
            <w:r>
              <w:rPr>
                <w:rFonts w:ascii="宋体" w:hAnsi="宋体" w:hint="eastAsia"/>
                <w:color w:val="000000"/>
                <w:kern w:val="0"/>
                <w:sz w:val="22"/>
                <w:lang/>
              </w:rPr>
              <w:t>联谊会经费收支情况每年应经有资质的第三方机构审核并出具审计报告（3分）。</w:t>
            </w:r>
            <w:bookmarkStart w:id="0" w:name="_GoBack"/>
            <w:bookmarkEnd w:id="0"/>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jc w:val="center"/>
              <w:rPr>
                <w:rFonts w:ascii="宋体" w:hAnsi="宋体"/>
                <w:color w:val="000000"/>
                <w:sz w:val="22"/>
              </w:rPr>
            </w:pPr>
          </w:p>
        </w:tc>
      </w:tr>
      <w:tr w:rsidR="008D01C5" w:rsidTr="002A1650">
        <w:trPr>
          <w:trHeight w:val="480"/>
          <w:jc w:val="center"/>
        </w:trPr>
        <w:tc>
          <w:tcPr>
            <w:tcW w:w="134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总     计</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r>
      <w:tr w:rsidR="008D01C5" w:rsidTr="002A1650">
        <w:trPr>
          <w:trHeight w:val="480"/>
          <w:jc w:val="center"/>
        </w:trPr>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考评等次</w:t>
            </w:r>
          </w:p>
        </w:tc>
        <w:tc>
          <w:tcPr>
            <w:tcW w:w="110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59分（含）以下为不合格，60－79分为合格，80－89分为良好，90分以上为优秀</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1C5" w:rsidRDefault="008D01C5" w:rsidP="002A1650">
            <w:pPr>
              <w:rPr>
                <w:rFonts w:ascii="宋体" w:hAnsi="宋体"/>
                <w:color w:val="000000"/>
                <w:sz w:val="22"/>
              </w:rPr>
            </w:pPr>
          </w:p>
        </w:tc>
      </w:tr>
    </w:tbl>
    <w:p w:rsidR="008D01C5" w:rsidRDefault="008D01C5" w:rsidP="008D01C5">
      <w:pPr>
        <w:spacing w:line="600" w:lineRule="exact"/>
        <w:ind w:firstLineChars="1600" w:firstLine="5120"/>
        <w:rPr>
          <w:rFonts w:ascii="Times New Roman" w:eastAsia="仿宋_GB2312" w:hAnsi="Times New Roman" w:cs="Times New Roman"/>
          <w:sz w:val="32"/>
          <w:szCs w:val="32"/>
        </w:rPr>
      </w:pPr>
    </w:p>
    <w:p w:rsidR="00C35DBA" w:rsidRPr="008D01C5" w:rsidRDefault="00C35DBA"/>
    <w:sectPr w:rsidR="00C35DBA" w:rsidRPr="008D01C5" w:rsidSect="008D01C5">
      <w:pgSz w:w="16838" w:h="11906" w:orient="landscape"/>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DBA" w:rsidRDefault="00C35DBA" w:rsidP="008D01C5">
      <w:r>
        <w:separator/>
      </w:r>
    </w:p>
  </w:endnote>
  <w:endnote w:type="continuationSeparator" w:id="1">
    <w:p w:rsidR="00C35DBA" w:rsidRDefault="00C35DBA" w:rsidP="008D01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DBA" w:rsidRDefault="00C35DBA" w:rsidP="008D01C5">
      <w:r>
        <w:separator/>
      </w:r>
    </w:p>
  </w:footnote>
  <w:footnote w:type="continuationSeparator" w:id="1">
    <w:p w:rsidR="00C35DBA" w:rsidRDefault="00C35DBA" w:rsidP="008D01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01C5"/>
    <w:rsid w:val="008D01C5"/>
    <w:rsid w:val="00C35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C5"/>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01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D01C5"/>
    <w:rPr>
      <w:sz w:val="18"/>
      <w:szCs w:val="18"/>
    </w:rPr>
  </w:style>
  <w:style w:type="paragraph" w:styleId="a4">
    <w:name w:val="footer"/>
    <w:basedOn w:val="a"/>
    <w:link w:val="Char0"/>
    <w:uiPriority w:val="99"/>
    <w:semiHidden/>
    <w:unhideWhenUsed/>
    <w:rsid w:val="008D01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D01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689</Characters>
  <Application>Microsoft Office Word</Application>
  <DocSecurity>0</DocSecurity>
  <Lines>36</Lines>
  <Paragraphs>27</Paragraphs>
  <ScaleCrop>false</ScaleCrop>
  <Company>Microsoft</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2022-01-27T10:51:00Z</dcterms:created>
  <dcterms:modified xsi:type="dcterms:W3CDTF">2022-01-27T10:52:00Z</dcterms:modified>
</cp:coreProperties>
</file>