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E4439">
      <w:pPr>
        <w:spacing w:line="460" w:lineRule="exact"/>
        <w:textAlignment w:val="baseline"/>
        <w:rPr>
          <w:rFonts w:ascii="宋体" w:hAnsi="宋体" w:eastAsia="仿宋_GB2312" w:cs="仿宋_GB2312"/>
          <w:bCs/>
          <w:color w:val="000000"/>
          <w:sz w:val="44"/>
          <w:szCs w:val="44"/>
        </w:rPr>
      </w:pPr>
    </w:p>
    <w:p w14:paraId="57DBD1F7">
      <w:pPr>
        <w:pStyle w:val="7"/>
        <w:spacing w:line="460" w:lineRule="exact"/>
        <w:rPr>
          <w:rFonts w:ascii="宋体" w:hAnsi="宋体"/>
        </w:rPr>
      </w:pPr>
    </w:p>
    <w:p w14:paraId="303F8C0B">
      <w:pPr>
        <w:spacing w:line="560" w:lineRule="exact"/>
        <w:jc w:val="center"/>
        <w:textAlignment w:val="baseline"/>
        <w:rPr>
          <w:rFonts w:ascii="宋体" w:hAnsi="宋体" w:eastAsia="方正小标宋简体" w:cs="仿宋_GB2312"/>
          <w:bCs/>
          <w:color w:val="000000"/>
          <w:sz w:val="44"/>
          <w:szCs w:val="44"/>
        </w:rPr>
      </w:pPr>
      <w:r>
        <w:rPr>
          <w:rFonts w:hint="eastAsia" w:ascii="宋体" w:hAnsi="宋体" w:eastAsia="方正小标宋简体" w:cs="仿宋_GB2312"/>
          <w:bCs/>
          <w:color w:val="000000"/>
          <w:sz w:val="44"/>
          <w:szCs w:val="44"/>
        </w:rPr>
        <w:t>关于市六届人大五次会议第029号</w:t>
      </w:r>
    </w:p>
    <w:p w14:paraId="5E22F0A3">
      <w:pPr>
        <w:spacing w:line="560" w:lineRule="exact"/>
        <w:jc w:val="center"/>
        <w:textAlignment w:val="baseline"/>
        <w:rPr>
          <w:rFonts w:ascii="宋体" w:hAnsi="宋体" w:eastAsia="方正小标宋简体" w:cs="仿宋_GB2312"/>
          <w:bCs/>
          <w:color w:val="000000"/>
          <w:sz w:val="44"/>
          <w:szCs w:val="44"/>
        </w:rPr>
      </w:pPr>
      <w:r>
        <w:rPr>
          <w:rFonts w:hint="eastAsia" w:ascii="宋体" w:hAnsi="宋体" w:eastAsia="方正小标宋简体" w:cs="仿宋_GB2312"/>
          <w:bCs/>
          <w:color w:val="000000"/>
          <w:sz w:val="44"/>
          <w:szCs w:val="44"/>
        </w:rPr>
        <w:t>建议答复的</w:t>
      </w:r>
      <w:r>
        <w:rPr>
          <w:rFonts w:ascii="宋体" w:hAnsi="宋体" w:eastAsia="方正小标宋简体" w:cs="仿宋_GB2312"/>
          <w:bCs/>
          <w:color w:val="000000"/>
          <w:sz w:val="44"/>
          <w:szCs w:val="44"/>
        </w:rPr>
        <w:t>函</w:t>
      </w:r>
    </w:p>
    <w:p w14:paraId="51A8698D">
      <w:pPr>
        <w:spacing w:line="560" w:lineRule="exact"/>
        <w:textAlignment w:val="baseline"/>
        <w:rPr>
          <w:rFonts w:ascii="宋体" w:hAnsi="宋体" w:eastAsia="仿宋_GB2312" w:cs="仿宋_GB2312"/>
          <w:bCs/>
          <w:color w:val="000000"/>
          <w:sz w:val="32"/>
          <w:szCs w:val="32"/>
        </w:rPr>
      </w:pPr>
    </w:p>
    <w:p w14:paraId="3602A023">
      <w:pPr>
        <w:snapToGrid w:val="0"/>
        <w:spacing w:line="560" w:lineRule="exact"/>
        <w:rPr>
          <w:rFonts w:hint="eastAsia" w:ascii="仿宋" w:hAnsi="仿宋" w:eastAsia="仿宋" w:cs="仿宋"/>
          <w:bCs/>
          <w:color w:val="000000"/>
          <w:sz w:val="32"/>
          <w:szCs w:val="32"/>
          <w:lang w:val="en"/>
        </w:rPr>
      </w:pPr>
      <w:r>
        <w:rPr>
          <w:rFonts w:hint="eastAsia" w:ascii="仿宋" w:hAnsi="仿宋" w:eastAsia="仿宋" w:cs="仿宋"/>
          <w:bCs/>
          <w:color w:val="000000"/>
          <w:sz w:val="32"/>
          <w:szCs w:val="32"/>
          <w:lang w:val="en"/>
        </w:rPr>
        <w:t>陈志赋、曾子瑄代表：</w:t>
      </w:r>
    </w:p>
    <w:p w14:paraId="2C4B3FA1">
      <w:pPr>
        <w:snapToGrid w:val="0"/>
        <w:spacing w:line="560" w:lineRule="exact"/>
        <w:ind w:firstLine="640" w:firstLineChars="200"/>
        <w:rPr>
          <w:rStyle w:val="21"/>
          <w:rFonts w:hint="eastAsia" w:ascii="仿宋" w:hAnsi="仿宋" w:eastAsia="仿宋" w:cs="仿宋"/>
          <w:sz w:val="32"/>
          <w:szCs w:val="32"/>
        </w:rPr>
      </w:pPr>
      <w:r>
        <w:rPr>
          <w:rFonts w:hint="eastAsia" w:ascii="仿宋" w:hAnsi="仿宋" w:eastAsia="仿宋" w:cs="仿宋"/>
          <w:bCs/>
          <w:color w:val="000000"/>
          <w:sz w:val="32"/>
          <w:szCs w:val="32"/>
          <w:lang w:val="en-US" w:eastAsia="zh-CN"/>
        </w:rPr>
        <w:t>你</w:t>
      </w:r>
      <w:r>
        <w:rPr>
          <w:rFonts w:hint="eastAsia" w:ascii="仿宋" w:hAnsi="仿宋" w:eastAsia="仿宋" w:cs="仿宋"/>
          <w:bCs/>
          <w:color w:val="000000"/>
          <w:sz w:val="32"/>
          <w:szCs w:val="32"/>
        </w:rPr>
        <w:t>们提出的《关于优化中小学校课后延时服务的建议》收悉，</w:t>
      </w:r>
      <w:r>
        <w:rPr>
          <w:rStyle w:val="21"/>
          <w:rFonts w:hint="eastAsia" w:ascii="仿宋" w:hAnsi="仿宋" w:eastAsia="仿宋" w:cs="仿宋"/>
          <w:sz w:val="32"/>
          <w:szCs w:val="32"/>
        </w:rPr>
        <w:t>现答复如下：</w:t>
      </w:r>
    </w:p>
    <w:p w14:paraId="0D79C98A">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仿宋" w:hAnsi="仿宋" w:eastAsia="仿宋" w:cs="仿宋"/>
          <w:bCs/>
          <w:color w:val="000000"/>
          <w:sz w:val="32"/>
          <w:szCs w:val="32"/>
          <w:lang w:val="en"/>
        </w:rPr>
        <w:t>近年来，赣州市教育局持续推动中小学课后服务工作走深走实，主要工作指标位居全省前列，工作案例《实施“双减”政策，解决“四点半”难题》被评为全省“我为群众办实事”三十佳典型案例，《赣州经开区扮好“五员”角色，做实“治理”文章》被评为全国“双减”工作优秀案例。</w:t>
      </w:r>
    </w:p>
    <w:p w14:paraId="04525442">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一、“五育”融合，持续推进课后服务“1+N”模式。</w:t>
      </w:r>
      <w:r>
        <w:rPr>
          <w:rFonts w:hint="eastAsia" w:ascii="仿宋" w:hAnsi="仿宋" w:eastAsia="仿宋" w:cs="仿宋"/>
          <w:bCs/>
          <w:color w:val="000000"/>
          <w:sz w:val="32"/>
          <w:szCs w:val="32"/>
          <w:lang w:val="en"/>
        </w:rPr>
        <w:t>在课后服务中实施“五育融合”，积极引导中小学校结合实际挖掘开发德育实践、科技创新、体育竞技、文化艺术、劳动实践等五大类主题课后服务课程，全学科融合课程内容、全学段打通课程设计、全面贯通“五育”。采用“作业辅导+特长培养”模式，构建“课业辅导+社团课程”的课后服务体系，开设数十种课程和社团活动，周一到周五课后服务时间安排德育类、艺术类、体育类、实践类、阅读类等丰富多彩的社团活动。积极将优秀传统文化、地方特色文化植入课后服务课程。例如全南县在课后服务中开设了非遗项目，开设了赣南客家擂茶制作技艺社团、香火龙“非遗”项目、大鼓大锣“非遗”等课程。2023年，全市1310所中心小学以上中小学校开展课后服务达1268所，达到96.79%。参与学生达1128013人，参与率94.26%。参加“1+N”课后托管服务模式学生数1124705人，参与率99.71%；共参加教师79529人，教师参与率达92.93%，聘请校外专业人员数834人。</w:t>
      </w:r>
    </w:p>
    <w:p w14:paraId="4D00DAA0">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二、优质提效，切实减轻作业负担。</w:t>
      </w:r>
      <w:r>
        <w:rPr>
          <w:rFonts w:hint="eastAsia" w:ascii="仿宋" w:hAnsi="仿宋" w:eastAsia="仿宋" w:cs="仿宋"/>
          <w:bCs/>
          <w:color w:val="000000"/>
          <w:sz w:val="32"/>
          <w:szCs w:val="32"/>
          <w:lang w:val="en"/>
        </w:rPr>
        <w:t>严控作业数量，提升出台《关于切实减轻义务教育阶段学生作业负担提高教学质量的通知》，健全以校长为第一责任人的作业管理机制，实行作业公示、作业总量监管和质量评价制度。统一设计作业，将作业设计纳入教研体系，作业内容、数量、要求等要经年级教师研讨、备课组长把关审批。开展“作业设计我来评”等活动，努力提高作业设计质量。推行“智慧作业”，依托现代信息技术手段破解学业负担重、课后辅导难等问题。出台《赣州市义务教育阶段学科教学指导意见》，从教学准备、教学实施、教学评价、教学资源建设、课外活动等维度，对“双减”背景下的教学活动提出具体意见，进一步深化改革。</w:t>
      </w:r>
    </w:p>
    <w:p w14:paraId="10C7F6F7">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宋体" w:hAnsi="宋体" w:eastAsia="黑体" w:cs="黑体"/>
          <w:bCs/>
          <w:color w:val="000000"/>
          <w:sz w:val="32"/>
          <w:szCs w:val="32"/>
          <w:lang w:val="en"/>
        </w:rPr>
        <w:t>三、家校共育，促进学生健康成长。</w:t>
      </w:r>
      <w:r>
        <w:rPr>
          <w:rFonts w:hint="eastAsia" w:ascii="仿宋" w:hAnsi="仿宋" w:eastAsia="仿宋" w:cs="仿宋"/>
          <w:bCs/>
          <w:color w:val="000000"/>
          <w:sz w:val="32"/>
          <w:szCs w:val="32"/>
          <w:lang w:val="en"/>
        </w:rPr>
        <w:t>积极构建家校共育体系，引导家长成为“双减”工作的参与者、合作者、支持者。出台《赣州市家校社协同育人助力“双减”工作方案》，对完善家庭教育指导服务体系、强化家校协同育人制度保障、拓展家校协同育人活动方式等进行了系统设计。如，瑞金市积极探索“发挥学校主阵地，落实家庭主责任，营造社会浓氛围”的家校社协同育人模式，学校定期开展家校共育活动，让家长主动参与学校活动，充分了解学生在校状况，帮助家长缓解“双减”实施后的教育焦虑。同时，加强课后服务宣传，</w:t>
      </w:r>
      <w:r>
        <w:rPr>
          <w:rFonts w:hint="eastAsia" w:ascii="仿宋" w:hAnsi="仿宋" w:eastAsia="仿宋" w:cs="仿宋"/>
          <w:bCs/>
          <w:color w:val="000000"/>
          <w:sz w:val="32"/>
          <w:szCs w:val="32"/>
        </w:rPr>
        <w:t>2023年，</w:t>
      </w:r>
      <w:r>
        <w:rPr>
          <w:rFonts w:hint="eastAsia" w:ascii="仿宋" w:hAnsi="仿宋" w:eastAsia="仿宋" w:cs="仿宋"/>
          <w:bCs/>
          <w:color w:val="000000"/>
          <w:sz w:val="32"/>
          <w:szCs w:val="32"/>
          <w:lang w:val="en"/>
        </w:rPr>
        <w:t>课后服务新闻信息报送总数1462条，其中中央媒体76条，省级媒体342条，市级媒体186条，县级媒体623条。</w:t>
      </w:r>
    </w:p>
    <w:p w14:paraId="1DEF202D">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
        </w:rPr>
        <w:t>下一步，</w:t>
      </w:r>
      <w:r>
        <w:rPr>
          <w:rFonts w:hint="eastAsia" w:ascii="仿宋" w:hAnsi="仿宋" w:eastAsia="仿宋" w:cs="仿宋"/>
          <w:sz w:val="32"/>
          <w:szCs w:val="32"/>
        </w:rPr>
        <w:t>我局</w:t>
      </w:r>
      <w:r>
        <w:rPr>
          <w:rFonts w:hint="eastAsia" w:ascii="仿宋" w:hAnsi="仿宋" w:eastAsia="仿宋" w:cs="仿宋"/>
          <w:sz w:val="32"/>
          <w:szCs w:val="32"/>
          <w:lang w:val="en"/>
        </w:rPr>
        <w:t>将结合</w:t>
      </w:r>
      <w:r>
        <w:rPr>
          <w:rFonts w:hint="eastAsia" w:ascii="仿宋" w:hAnsi="仿宋" w:eastAsia="仿宋" w:cs="仿宋"/>
          <w:sz w:val="32"/>
          <w:szCs w:val="32"/>
          <w:lang w:val="en-US" w:eastAsia="zh-CN"/>
        </w:rPr>
        <w:t>你</w:t>
      </w:r>
      <w:bookmarkStart w:id="1" w:name="_GoBack"/>
      <w:bookmarkEnd w:id="1"/>
      <w:r>
        <w:rPr>
          <w:rFonts w:hint="eastAsia" w:ascii="仿宋" w:hAnsi="仿宋" w:eastAsia="仿宋" w:cs="仿宋"/>
          <w:sz w:val="32"/>
          <w:szCs w:val="32"/>
          <w:lang w:val="en"/>
        </w:rPr>
        <w:t>们的建议，做好以下几方面的</w:t>
      </w:r>
      <w:r>
        <w:rPr>
          <w:rFonts w:hint="eastAsia" w:ascii="仿宋" w:hAnsi="仿宋" w:eastAsia="仿宋" w:cs="仿宋"/>
          <w:sz w:val="32"/>
          <w:szCs w:val="32"/>
        </w:rPr>
        <w:t>工作。</w:t>
      </w:r>
    </w:p>
    <w:p w14:paraId="745AF91F">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黑体" w:hAnsi="黑体" w:eastAsia="黑体" w:cs="黑体"/>
          <w:bCs/>
          <w:color w:val="000000"/>
          <w:sz w:val="32"/>
          <w:szCs w:val="32"/>
          <w:lang w:val="en"/>
        </w:rPr>
        <w:t>一是进一步提升课后服务水平。</w:t>
      </w:r>
      <w:r>
        <w:rPr>
          <w:rFonts w:hint="eastAsia" w:ascii="仿宋" w:hAnsi="仿宋" w:eastAsia="仿宋" w:cs="仿宋"/>
          <w:bCs/>
          <w:color w:val="000000"/>
          <w:sz w:val="32"/>
          <w:szCs w:val="32"/>
          <w:lang w:val="en"/>
        </w:rPr>
        <w:t>积极挖潜、合理配置师资等资源，与青少年宫、青少年活动中心、妇女儿童活动中心、科技馆、社区活动中心等具备资质、规范的社会组织和专业机构优化课后服务质量。加强特色课程管理，督促引导学校优化顶层设计，打造有特色、成系统的特色课程群，建立健全特色课程管理办法，推行特色课程申请、开发、审核、考评、退出等机制，不断提高课后服务课程质量。坚持一县（区）一政策、一校一方案、一生一课表、一课一体系原则，持续督促指导各中小学校在制定课后服务实施方案时要结合本校师资、场地等实际、与学校特色发展相挂钩；从学科能力拓展、兴趣爱好培养、多元智能发展等方面出发，设立自主阅读、兴趣培养、才艺表演、知识竞赛等多种课后服务课程，切实满足学生多样化成长需求。</w:t>
      </w:r>
    </w:p>
    <w:p w14:paraId="33589710">
      <w:pPr>
        <w:snapToGrid w:val="0"/>
        <w:spacing w:line="560" w:lineRule="exact"/>
        <w:ind w:firstLine="640" w:firstLineChars="200"/>
        <w:rPr>
          <w:rFonts w:hint="eastAsia" w:ascii="仿宋" w:hAnsi="仿宋" w:eastAsia="仿宋" w:cs="仿宋"/>
          <w:bCs/>
          <w:color w:val="000000"/>
          <w:sz w:val="32"/>
          <w:szCs w:val="32"/>
          <w:lang w:val="en"/>
        </w:rPr>
      </w:pPr>
      <w:r>
        <w:rPr>
          <w:rFonts w:hint="eastAsia" w:ascii="黑体" w:hAnsi="黑体" w:eastAsia="黑体" w:cs="黑体"/>
          <w:bCs/>
          <w:color w:val="000000"/>
          <w:sz w:val="32"/>
          <w:szCs w:val="32"/>
          <w:lang w:val="en"/>
        </w:rPr>
        <w:t>二是进一步加强课后服务督导检查。</w:t>
      </w:r>
      <w:r>
        <w:rPr>
          <w:rFonts w:hint="eastAsia" w:ascii="仿宋" w:hAnsi="仿宋" w:eastAsia="仿宋" w:cs="仿宋"/>
          <w:bCs/>
          <w:color w:val="000000"/>
          <w:sz w:val="32"/>
          <w:szCs w:val="32"/>
          <w:lang w:val="en"/>
        </w:rPr>
        <w:t>加强对中小学课后服务工作的督导，督促各地各校落实有关部署要求，特别是落实“1+N”课后托管服务模式情况，确保各地各校严格落实兴趣类活动和社团拓展类活动时间占比达到课后服务总时长50%以上的要求。</w:t>
      </w:r>
      <w:r>
        <w:rPr>
          <w:rFonts w:hint="eastAsia" w:ascii="仿宋" w:hAnsi="仿宋" w:eastAsia="仿宋" w:cs="仿宋"/>
          <w:sz w:val="32"/>
          <w:szCs w:val="32"/>
        </w:rPr>
        <w:t>积极督促中小学校建立面向社会的课后延时服务公示制度，积极纠治各类违规课后延时活动。</w:t>
      </w:r>
    </w:p>
    <w:p w14:paraId="7E2D1C21">
      <w:pPr>
        <w:snapToGrid w:val="0"/>
        <w:spacing w:line="560" w:lineRule="exact"/>
        <w:rPr>
          <w:rFonts w:hint="eastAsia" w:ascii="仿宋" w:hAnsi="仿宋" w:eastAsia="仿宋" w:cs="仿宋"/>
          <w:bCs/>
          <w:color w:val="000000"/>
          <w:sz w:val="32"/>
          <w:szCs w:val="32"/>
        </w:rPr>
      </w:pPr>
    </w:p>
    <w:p w14:paraId="2AF22132">
      <w:pPr>
        <w:snapToGrid w:val="0"/>
        <w:spacing w:line="560" w:lineRule="exact"/>
        <w:rPr>
          <w:rFonts w:hint="eastAsia" w:ascii="仿宋" w:hAnsi="仿宋" w:eastAsia="仿宋" w:cs="仿宋"/>
          <w:bCs/>
          <w:color w:val="000000"/>
          <w:sz w:val="32"/>
          <w:szCs w:val="32"/>
        </w:rPr>
      </w:pPr>
    </w:p>
    <w:p w14:paraId="1E84C6A5">
      <w:pPr>
        <w:spacing w:line="560" w:lineRule="exact"/>
        <w:textAlignment w:val="baseline"/>
        <w:rPr>
          <w:rStyle w:val="21"/>
          <w:rFonts w:hint="eastAsia" w:ascii="仿宋" w:hAnsi="仿宋" w:eastAsia="仿宋" w:cs="仿宋"/>
          <w:sz w:val="32"/>
          <w:szCs w:val="32"/>
        </w:rPr>
      </w:pPr>
      <w:r>
        <w:rPr>
          <w:rStyle w:val="21"/>
          <w:rFonts w:hint="eastAsia" w:ascii="仿宋" w:hAnsi="仿宋" w:eastAsia="仿宋" w:cs="仿宋"/>
          <w:sz w:val="32"/>
          <w:szCs w:val="32"/>
        </w:rPr>
        <w:t xml:space="preserve">                                 赣州市教育局</w:t>
      </w:r>
    </w:p>
    <w:p w14:paraId="6F2CDE97">
      <w:pPr>
        <w:spacing w:line="560" w:lineRule="exact"/>
        <w:ind w:right="1216" w:rightChars="579"/>
        <w:textAlignment w:val="baseline"/>
        <w:rPr>
          <w:rStyle w:val="21"/>
          <w:rFonts w:hint="eastAsia" w:ascii="仿宋" w:hAnsi="仿宋" w:eastAsia="仿宋" w:cs="仿宋"/>
          <w:sz w:val="32"/>
          <w:szCs w:val="32"/>
        </w:rPr>
      </w:pPr>
      <w:r>
        <w:rPr>
          <w:rStyle w:val="21"/>
          <w:rFonts w:hint="eastAsia" w:ascii="仿宋" w:hAnsi="仿宋" w:eastAsia="仿宋" w:cs="仿宋"/>
          <w:sz w:val="32"/>
          <w:szCs w:val="32"/>
        </w:rPr>
        <w:t xml:space="preserve">                                2024年5月</w:t>
      </w:r>
      <w:r>
        <w:rPr>
          <w:rStyle w:val="21"/>
          <w:rFonts w:hint="eastAsia" w:ascii="仿宋" w:hAnsi="仿宋" w:eastAsia="仿宋" w:cs="仿宋"/>
          <w:sz w:val="32"/>
          <w:szCs w:val="32"/>
          <w:lang w:val="en"/>
        </w:rPr>
        <w:t>29</w:t>
      </w:r>
      <w:r>
        <w:rPr>
          <w:rStyle w:val="21"/>
          <w:rFonts w:hint="eastAsia" w:ascii="仿宋" w:hAnsi="仿宋" w:eastAsia="仿宋" w:cs="仿宋"/>
          <w:sz w:val="32"/>
          <w:szCs w:val="32"/>
        </w:rPr>
        <w:t>日</w:t>
      </w:r>
    </w:p>
    <w:p w14:paraId="6A52B531">
      <w:pPr>
        <w:snapToGrid w:val="0"/>
        <w:spacing w:line="560" w:lineRule="exact"/>
        <w:rPr>
          <w:rFonts w:ascii="宋体" w:hAnsi="宋体" w:eastAsia="仿宋_GB2312" w:cs="仿宋_GB2312"/>
          <w:bCs/>
          <w:color w:val="000000"/>
          <w:sz w:val="32"/>
          <w:szCs w:val="32"/>
          <w:lang w:val="en"/>
        </w:rPr>
      </w:pPr>
    </w:p>
    <w:p w14:paraId="2774490E">
      <w:pPr>
        <w:pStyle w:val="2"/>
        <w:ind w:left="0" w:leftChars="0"/>
        <w:rPr>
          <w:lang w:val="en"/>
        </w:rPr>
      </w:pPr>
    </w:p>
    <w:p w14:paraId="6A5776A6">
      <w:pPr>
        <w:pStyle w:val="3"/>
        <w:rPr>
          <w:rFonts w:hint="eastAsia"/>
          <w:lang w:val="en"/>
        </w:rPr>
      </w:pPr>
    </w:p>
    <w:p w14:paraId="33D221E4">
      <w:pPr>
        <w:snapToGrid w:val="0"/>
        <w:spacing w:line="560" w:lineRule="exact"/>
        <w:rPr>
          <w:rFonts w:ascii="宋体" w:hAnsi="宋体" w:eastAsia="仿宋_GB2312" w:cs="仿宋_GB2312"/>
          <w:bCs/>
          <w:color w:val="000000"/>
          <w:sz w:val="32"/>
          <w:szCs w:val="32"/>
          <w:lang w:val="en"/>
        </w:rPr>
      </w:pPr>
    </w:p>
    <w:p w14:paraId="48179073">
      <w:pPr>
        <w:snapToGrid w:val="0"/>
        <w:spacing w:line="560" w:lineRule="exact"/>
        <w:rPr>
          <w:rFonts w:ascii="宋体" w:hAnsi="宋体" w:eastAsia="仿宋_GB2312" w:cs="仿宋_GB2312"/>
          <w:bCs/>
          <w:color w:val="000000"/>
          <w:sz w:val="32"/>
          <w:szCs w:val="32"/>
          <w:lang w:val="en"/>
        </w:rPr>
      </w:pPr>
    </w:p>
    <w:p w14:paraId="788D6717">
      <w:pPr>
        <w:snapToGrid w:val="0"/>
        <w:spacing w:line="560" w:lineRule="exact"/>
        <w:rPr>
          <w:rFonts w:ascii="宋体" w:hAnsi="宋体" w:eastAsia="仿宋_GB2312" w:cs="仿宋_GB2312"/>
          <w:bCs/>
          <w:color w:val="000000"/>
          <w:sz w:val="32"/>
          <w:szCs w:val="32"/>
          <w:lang w:val="en"/>
        </w:rPr>
      </w:pPr>
      <w:r>
        <w:rPr>
          <w:rFonts w:hint="eastAsia" w:ascii="宋体" w:hAnsi="宋体" w:eastAsia="仿宋_GB2312" w:cs="仿宋_GB2312"/>
          <w:bCs/>
          <w:color w:val="000000"/>
          <w:sz w:val="32"/>
          <w:szCs w:val="32"/>
          <w:lang w:val="en"/>
        </w:rPr>
        <w:t>抄送：市人大常委会选任联工作、市政府督查室</w:t>
      </w:r>
    </w:p>
    <w:p w14:paraId="47E0E51B">
      <w:pPr>
        <w:spacing w:line="600" w:lineRule="exact"/>
        <w:rPr>
          <w:rFonts w:hint="eastAsia" w:ascii="宋体" w:hAnsi="宋体" w:eastAsia="仿宋_GB2312"/>
        </w:rPr>
      </w:pPr>
      <w:r>
        <w:rPr>
          <w:rFonts w:hint="eastAsia" w:ascii="宋体" w:hAnsi="宋体" w:eastAsia="仿宋_GB2312" w:cs="仿宋_GB2312"/>
          <w:sz w:val="32"/>
          <w:szCs w:val="32"/>
        </w:rPr>
        <w:t>联系人、职务及电话：钟骏树、市教育局基础教育科科长0797-8991</w:t>
      </w:r>
      <w:r>
        <w:rPr>
          <w:rFonts w:ascii="宋体" w:hAnsi="宋体" w:eastAsia="仿宋_GB2312" w:cs="仿宋_GB2312"/>
          <w:sz w:val="32"/>
          <w:szCs w:val="32"/>
        </w:rPr>
        <w:t>498</w:t>
      </w:r>
    </w:p>
    <w:sectPr>
      <w:footerReference r:id="rId3" w:type="default"/>
      <w:footerReference r:id="rId4" w:type="even"/>
      <w:pgSz w:w="11906" w:h="16838"/>
      <w:pgMar w:top="2098" w:right="1588" w:bottom="2098" w:left="1588"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943644-7379-4168-9866-C08DF2D76B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FCE284C-313E-43FB-A428-DF2AFDB8EE6F}"/>
  </w:font>
  <w:font w:name="方正小标宋简体">
    <w:panose1 w:val="02000000000000000000"/>
    <w:charset w:val="86"/>
    <w:family w:val="auto"/>
    <w:pitch w:val="default"/>
    <w:sig w:usb0="00000001" w:usb1="08000000" w:usb2="00000000" w:usb3="00000000" w:csb0="00040000" w:csb1="00000000"/>
    <w:embedRegular r:id="rId3" w:fontKey="{C8566BE9-9A81-40BE-8EB8-1B1101720D2E}"/>
  </w:font>
  <w:font w:name="仿宋">
    <w:panose1 w:val="02010609060101010101"/>
    <w:charset w:val="86"/>
    <w:family w:val="modern"/>
    <w:pitch w:val="default"/>
    <w:sig w:usb0="800002BF" w:usb1="38CF7CFA" w:usb2="00000016" w:usb3="00000000" w:csb0="00040001" w:csb1="00000000"/>
    <w:embedRegular r:id="rId4" w:fontKey="{4939C69D-6C9F-4F7E-956C-932B1ED647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214D">
    <w:pPr>
      <w:pStyle w:val="9"/>
      <w:jc w:val="right"/>
    </w:pPr>
    <w:bookmarkStart w:id="0" w:name="_Hlk30490230"/>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542C">
    <w:pPr>
      <w:pStyle w:val="9"/>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ZmE0NmQ5NmFhNjhlOTdiY2NhNTRhNDQyZTE0ZjAifQ=="/>
  </w:docVars>
  <w:rsids>
    <w:rsidRoot w:val="FD7E740D"/>
    <w:rsid w:val="0028385D"/>
    <w:rsid w:val="003B7C8B"/>
    <w:rsid w:val="00491494"/>
    <w:rsid w:val="004A52FA"/>
    <w:rsid w:val="004F648A"/>
    <w:rsid w:val="006345DF"/>
    <w:rsid w:val="007E241A"/>
    <w:rsid w:val="00867AC3"/>
    <w:rsid w:val="008F0735"/>
    <w:rsid w:val="00AD77F4"/>
    <w:rsid w:val="00D12E13"/>
    <w:rsid w:val="00D915E6"/>
    <w:rsid w:val="00ED4036"/>
    <w:rsid w:val="00EE2EA5"/>
    <w:rsid w:val="00EF54A9"/>
    <w:rsid w:val="00F27B8D"/>
    <w:rsid w:val="14F658E9"/>
    <w:rsid w:val="18C54991"/>
    <w:rsid w:val="1EED0003"/>
    <w:rsid w:val="22081949"/>
    <w:rsid w:val="249776BE"/>
    <w:rsid w:val="27694021"/>
    <w:rsid w:val="2F7D79CC"/>
    <w:rsid w:val="350451CD"/>
    <w:rsid w:val="37FF05C2"/>
    <w:rsid w:val="3A59109C"/>
    <w:rsid w:val="3ADDBCDD"/>
    <w:rsid w:val="3BFFB500"/>
    <w:rsid w:val="3D5F98D8"/>
    <w:rsid w:val="3DC06DA2"/>
    <w:rsid w:val="3FD74B8D"/>
    <w:rsid w:val="3FDE32F5"/>
    <w:rsid w:val="3FFE1EE9"/>
    <w:rsid w:val="4577D0B9"/>
    <w:rsid w:val="45F279F2"/>
    <w:rsid w:val="56EFC4B6"/>
    <w:rsid w:val="56F7EED6"/>
    <w:rsid w:val="57BA9CB2"/>
    <w:rsid w:val="59193E98"/>
    <w:rsid w:val="5AF16F14"/>
    <w:rsid w:val="5CFC5729"/>
    <w:rsid w:val="5DFE8AFC"/>
    <w:rsid w:val="5EBF9FCC"/>
    <w:rsid w:val="5EF5FB2F"/>
    <w:rsid w:val="5FE7A9F2"/>
    <w:rsid w:val="667BB37E"/>
    <w:rsid w:val="66FB858E"/>
    <w:rsid w:val="6BEAE1AB"/>
    <w:rsid w:val="6E731D44"/>
    <w:rsid w:val="6E75A9AA"/>
    <w:rsid w:val="6F5E339F"/>
    <w:rsid w:val="6FBF51FB"/>
    <w:rsid w:val="73876263"/>
    <w:rsid w:val="743B227C"/>
    <w:rsid w:val="74FC9431"/>
    <w:rsid w:val="7557EDA6"/>
    <w:rsid w:val="75BFCC20"/>
    <w:rsid w:val="75F696B8"/>
    <w:rsid w:val="767E7D32"/>
    <w:rsid w:val="768DDCA3"/>
    <w:rsid w:val="79F7E16C"/>
    <w:rsid w:val="79FB88A6"/>
    <w:rsid w:val="7B16EC54"/>
    <w:rsid w:val="7BCCDAC1"/>
    <w:rsid w:val="7DB25A91"/>
    <w:rsid w:val="7DF90766"/>
    <w:rsid w:val="7EB6B10E"/>
    <w:rsid w:val="7ED6FB69"/>
    <w:rsid w:val="7F5F455C"/>
    <w:rsid w:val="7F6F4CF0"/>
    <w:rsid w:val="7F6F99CF"/>
    <w:rsid w:val="7F773B59"/>
    <w:rsid w:val="7F7E2337"/>
    <w:rsid w:val="7FB51ABE"/>
    <w:rsid w:val="7FE6B508"/>
    <w:rsid w:val="7FF6EBB5"/>
    <w:rsid w:val="7FFAD296"/>
    <w:rsid w:val="7FFFFC3F"/>
    <w:rsid w:val="8BBF4DE0"/>
    <w:rsid w:val="9FFD0339"/>
    <w:rsid w:val="9FFF0C81"/>
    <w:rsid w:val="AE15C475"/>
    <w:rsid w:val="B77EF74C"/>
    <w:rsid w:val="B7B760A1"/>
    <w:rsid w:val="BD482680"/>
    <w:rsid w:val="BEF7D6CF"/>
    <w:rsid w:val="CF9FBF2D"/>
    <w:rsid w:val="D76F8E37"/>
    <w:rsid w:val="D7DFBE0F"/>
    <w:rsid w:val="DB3B135A"/>
    <w:rsid w:val="DB7ADC37"/>
    <w:rsid w:val="DBFE3FA3"/>
    <w:rsid w:val="DCEEF67F"/>
    <w:rsid w:val="DD475F16"/>
    <w:rsid w:val="DEAB101B"/>
    <w:rsid w:val="DF2F6AD0"/>
    <w:rsid w:val="DFBDB0CB"/>
    <w:rsid w:val="E5EF26B1"/>
    <w:rsid w:val="EDB55F88"/>
    <w:rsid w:val="EF7F7F6B"/>
    <w:rsid w:val="EF9F6E58"/>
    <w:rsid w:val="EFC6E7E2"/>
    <w:rsid w:val="EFE68DCA"/>
    <w:rsid w:val="EFFFEE2A"/>
    <w:rsid w:val="F3955B21"/>
    <w:rsid w:val="F6FFE5F5"/>
    <w:rsid w:val="FABF09C3"/>
    <w:rsid w:val="FABF9A5F"/>
    <w:rsid w:val="FAD39326"/>
    <w:rsid w:val="FAFC6336"/>
    <w:rsid w:val="FBB9B1CC"/>
    <w:rsid w:val="FBFA2CE4"/>
    <w:rsid w:val="FCCEAC3E"/>
    <w:rsid w:val="FCDEA945"/>
    <w:rsid w:val="FD7E740D"/>
    <w:rsid w:val="FDDE8EE4"/>
    <w:rsid w:val="FDDF88A7"/>
    <w:rsid w:val="FE3F31B8"/>
    <w:rsid w:val="FF3D6DB8"/>
    <w:rsid w:val="FF6C9B41"/>
    <w:rsid w:val="FF7A3C84"/>
    <w:rsid w:val="FF7B0882"/>
    <w:rsid w:val="FF7F0497"/>
    <w:rsid w:val="FFFFB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customStyle="1" w:styleId="3">
    <w:name w:val="Body Text First Indent 21"/>
    <w:basedOn w:val="4"/>
    <w:qFormat/>
    <w:uiPriority w:val="0"/>
    <w:pPr>
      <w:ind w:firstLine="420"/>
    </w:pPr>
  </w:style>
  <w:style w:type="paragraph" w:customStyle="1" w:styleId="4">
    <w:name w:val="Body Text Indent1"/>
    <w:basedOn w:val="1"/>
    <w:qFormat/>
    <w:uiPriority w:val="0"/>
    <w:pPr>
      <w:spacing w:line="500" w:lineRule="exact"/>
      <w:ind w:firstLine="880" w:firstLineChars="200"/>
    </w:pPr>
    <w:rPr>
      <w:rFonts w:ascii="Times New Roman" w:hAnsi="Times New Roman"/>
    </w:rPr>
  </w:style>
  <w:style w:type="paragraph" w:styleId="6">
    <w:name w:val="Normal Indent"/>
    <w:basedOn w:val="1"/>
    <w:next w:val="1"/>
    <w:qFormat/>
    <w:uiPriority w:val="0"/>
    <w:pPr>
      <w:ind w:firstLine="420" w:firstLineChars="200"/>
    </w:pPr>
  </w:style>
  <w:style w:type="paragraph" w:styleId="7">
    <w:name w:val="Body Text"/>
    <w:basedOn w:val="1"/>
    <w:next w:val="1"/>
    <w:qFormat/>
    <w:uiPriority w:val="1"/>
    <w:rPr>
      <w:sz w:val="24"/>
    </w:rPr>
  </w:style>
  <w:style w:type="paragraph" w:styleId="8">
    <w:name w:val="Balloon Text"/>
    <w:basedOn w:val="1"/>
    <w:link w:val="25"/>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rFonts w:ascii="Times New Roman" w:hAnsi="Times New Roman"/>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2"/>
    <w:qFormat/>
    <w:uiPriority w:val="0"/>
    <w:pPr>
      <w:spacing w:line="240" w:lineRule="atLeast"/>
      <w:ind w:firstLine="420" w:firstLineChars="200"/>
    </w:pPr>
    <w:rPr>
      <w:rFonts w:eastAsia="仿宋_GB2312"/>
      <w:sz w:val="32"/>
      <w:szCs w:val="32"/>
    </w:rPr>
  </w:style>
  <w:style w:type="paragraph" w:customStyle="1" w:styleId="17">
    <w:name w:val="引文目录标题1"/>
    <w:basedOn w:val="1"/>
    <w:next w:val="1"/>
    <w:qFormat/>
    <w:uiPriority w:val="0"/>
    <w:pPr>
      <w:spacing w:before="120"/>
    </w:pPr>
    <w:rPr>
      <w:rFonts w:ascii="Arial" w:hAnsi="Arial" w:cs="Arial"/>
      <w:sz w:val="24"/>
    </w:rPr>
  </w:style>
  <w:style w:type="paragraph" w:customStyle="1" w:styleId="18">
    <w:name w:val="列出段落1"/>
    <w:basedOn w:val="1"/>
    <w:qFormat/>
    <w:uiPriority w:val="34"/>
    <w:pPr>
      <w:ind w:firstLine="420" w:firstLineChars="200"/>
    </w:pPr>
  </w:style>
  <w:style w:type="paragraph" w:customStyle="1" w:styleId="19">
    <w:name w:val="NormalIndent"/>
    <w:basedOn w:val="1"/>
    <w:next w:val="1"/>
    <w:qFormat/>
    <w:uiPriority w:val="0"/>
    <w:pPr>
      <w:widowControl/>
      <w:ind w:firstLine="420" w:firstLineChars="200"/>
      <w:textAlignment w:val="baseline"/>
    </w:pPr>
  </w:style>
  <w:style w:type="character" w:customStyle="1" w:styleId="20">
    <w:name w:val="UserStyle_0"/>
    <w:semiHidden/>
    <w:qFormat/>
    <w:uiPriority w:val="0"/>
    <w:rPr>
      <w:rFonts w:ascii="Calibri" w:hAnsi="Calibri" w:eastAsia="宋体" w:cs="黑体"/>
      <w:kern w:val="2"/>
      <w:sz w:val="21"/>
      <w:szCs w:val="24"/>
      <w:lang w:val="en-US" w:eastAsia="zh-CN" w:bidi="ar-SA"/>
    </w:rPr>
  </w:style>
  <w:style w:type="character" w:customStyle="1" w:styleId="21">
    <w:name w:val="NormalCharacter"/>
    <w:qFormat/>
    <w:uiPriority w:val="0"/>
    <w:rPr>
      <w:rFonts w:ascii="Times New Roman" w:hAnsi="Times New Roman" w:eastAsia="宋体"/>
    </w:rPr>
  </w:style>
  <w:style w:type="character" w:customStyle="1" w:styleId="22">
    <w:name w:val="页眉 字符"/>
    <w:basedOn w:val="16"/>
    <w:link w:val="10"/>
    <w:qFormat/>
    <w:uiPriority w:val="0"/>
    <w:rPr>
      <w:kern w:val="2"/>
      <w:sz w:val="18"/>
      <w:szCs w:val="18"/>
    </w:rPr>
  </w:style>
  <w:style w:type="character" w:customStyle="1" w:styleId="23">
    <w:name w:val="页脚 字符"/>
    <w:basedOn w:val="16"/>
    <w:link w:val="9"/>
    <w:qFormat/>
    <w:uiPriority w:val="0"/>
    <w:rPr>
      <w:kern w:val="2"/>
      <w:sz w:val="18"/>
      <w:szCs w:val="18"/>
    </w:rPr>
  </w:style>
  <w:style w:type="paragraph" w:customStyle="1" w:styleId="24">
    <w:name w:val="BodyText1I2"/>
    <w:basedOn w:val="1"/>
    <w:qFormat/>
    <w:uiPriority w:val="0"/>
    <w:pPr>
      <w:ind w:firstLine="420" w:firstLineChars="200"/>
      <w:textAlignment w:val="baseline"/>
    </w:pPr>
  </w:style>
  <w:style w:type="character" w:customStyle="1" w:styleId="25">
    <w:name w:val="批注框文本 字符"/>
    <w:basedOn w:val="16"/>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1717</Words>
  <Characters>1802</Characters>
  <Lines>13</Lines>
  <Paragraphs>3</Paragraphs>
  <TotalTime>13</TotalTime>
  <ScaleCrop>false</ScaleCrop>
  <LinksUpToDate>false</LinksUpToDate>
  <CharactersWithSpaces>1867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2024-05-30T17:47:00Z</dcterms:created>
  <dc:creator>user</dc:creator>
  <cp:lastModifiedBy>luzhibin</cp:lastModifiedBy>
  <cp:lastPrinted>2024-05-30T17:45:00Z</cp:lastPrinted>
  <dcterms:modified xsi:type="dcterms:W3CDTF">2024-07-30T01:10:09Z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7CE811F87CFF409489E2656FEA4F8C89</vt:lpwstr>
  </property>
</Properties>
</file>