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center"/>
        <w:rPr>
          <w:rFonts w:hint="eastAsia" w:ascii="仿宋_GB2312" w:eastAsia="仿宋_GB2312"/>
          <w:b/>
          <w:color w:val="000000"/>
          <w:sz w:val="32"/>
          <w:szCs w:val="30"/>
        </w:rPr>
      </w:pPr>
      <w:r>
        <w:rPr>
          <w:rFonts w:hint="eastAsia" w:ascii="仿宋_GB2312" w:eastAsia="仿宋_GB2312"/>
          <w:b/>
          <w:color w:val="000000"/>
          <w:sz w:val="32"/>
          <w:szCs w:val="30"/>
        </w:rPr>
        <w:t>赣州市</w:t>
      </w:r>
      <w:r>
        <w:rPr>
          <w:rFonts w:hint="eastAsia" w:ascii="仿宋_GB2312" w:eastAsia="仿宋_GB2312"/>
          <w:b/>
          <w:color w:val="000000"/>
          <w:sz w:val="32"/>
          <w:szCs w:val="30"/>
          <w:lang w:eastAsia="zh-CN"/>
        </w:rPr>
        <w:t>道路运输管理局</w:t>
      </w:r>
      <w:r>
        <w:rPr>
          <w:rFonts w:hint="eastAsia" w:ascii="仿宋_GB2312" w:eastAsia="仿宋_GB2312"/>
          <w:b/>
          <w:color w:val="000000"/>
          <w:sz w:val="32"/>
          <w:szCs w:val="30"/>
        </w:rPr>
        <w:t>202</w:t>
      </w:r>
      <w:r>
        <w:rPr>
          <w:rFonts w:hint="eastAsia" w:ascii="仿宋_GB2312" w:eastAsia="仿宋_GB2312"/>
          <w:b/>
          <w:color w:val="000000"/>
          <w:sz w:val="32"/>
          <w:szCs w:val="30"/>
          <w:lang w:val="en-US" w:eastAsia="zh-CN"/>
        </w:rPr>
        <w:t>1</w:t>
      </w:r>
      <w:r>
        <w:rPr>
          <w:rFonts w:hint="eastAsia" w:ascii="仿宋_GB2312" w:eastAsia="仿宋_GB2312"/>
          <w:b/>
          <w:color w:val="000000"/>
          <w:sz w:val="32"/>
          <w:szCs w:val="30"/>
        </w:rPr>
        <w:t>年部门预算情况说明</w:t>
      </w:r>
    </w:p>
    <w:p>
      <w:pPr>
        <w:widowControl/>
        <w:spacing w:line="600" w:lineRule="exact"/>
        <w:jc w:val="center"/>
        <w:rPr>
          <w:rFonts w:hint="eastAsia" w:ascii="仿宋_GB2312" w:eastAsia="仿宋_GB2312"/>
          <w:b/>
          <w:color w:val="000000"/>
          <w:sz w:val="32"/>
          <w:szCs w:val="30"/>
        </w:rPr>
      </w:pPr>
    </w:p>
    <w:p>
      <w:pPr>
        <w:widowControl/>
        <w:spacing w:line="600" w:lineRule="exact"/>
        <w:ind w:firstLine="643" w:firstLineChars="200"/>
        <w:jc w:val="left"/>
        <w:rPr>
          <w:rFonts w:hint="eastAsia" w:ascii="楷体_GB2312" w:eastAsia="楷体_GB2312"/>
          <w:b/>
          <w:color w:val="000000"/>
          <w:sz w:val="32"/>
          <w:szCs w:val="30"/>
        </w:rPr>
      </w:pPr>
      <w:r>
        <w:rPr>
          <w:rFonts w:hint="eastAsia" w:ascii="楷体_GB2312" w:eastAsia="楷体_GB2312"/>
          <w:b/>
          <w:color w:val="000000"/>
          <w:sz w:val="32"/>
          <w:szCs w:val="30"/>
        </w:rPr>
        <w:t>一、202</w:t>
      </w:r>
      <w:r>
        <w:rPr>
          <w:rFonts w:hint="eastAsia" w:ascii="楷体_GB2312" w:eastAsia="楷体_GB2312"/>
          <w:b/>
          <w:color w:val="000000"/>
          <w:sz w:val="32"/>
          <w:szCs w:val="30"/>
          <w:lang w:val="en-US" w:eastAsia="zh-CN"/>
        </w:rPr>
        <w:t>1</w:t>
      </w:r>
      <w:r>
        <w:rPr>
          <w:rFonts w:hint="eastAsia" w:ascii="楷体_GB2312" w:eastAsia="楷体_GB2312"/>
          <w:b/>
          <w:color w:val="000000"/>
          <w:sz w:val="32"/>
          <w:szCs w:val="30"/>
        </w:rPr>
        <w:t>年部门预算收支情况说明</w:t>
      </w:r>
    </w:p>
    <w:p>
      <w:pPr>
        <w:widowControl/>
        <w:spacing w:line="600" w:lineRule="exact"/>
        <w:ind w:firstLine="640"/>
        <w:jc w:val="left"/>
        <w:rPr>
          <w:rFonts w:hint="eastAsia" w:ascii="仿宋_GB2312" w:eastAsia="仿宋_GB2312"/>
          <w:b/>
          <w:color w:val="000000"/>
          <w:sz w:val="32"/>
          <w:szCs w:val="30"/>
        </w:rPr>
      </w:pPr>
      <w:r>
        <w:rPr>
          <w:rFonts w:hint="eastAsia" w:ascii="仿宋_GB2312" w:eastAsia="仿宋_GB2312"/>
          <w:b/>
          <w:color w:val="000000"/>
          <w:sz w:val="32"/>
          <w:szCs w:val="30"/>
        </w:rPr>
        <w:t>（一）收入预算情况</w:t>
      </w:r>
    </w:p>
    <w:p>
      <w:pPr>
        <w:widowControl/>
        <w:spacing w:line="600" w:lineRule="exact"/>
        <w:ind w:firstLine="640"/>
        <w:rPr>
          <w:rFonts w:hint="default" w:ascii="仿宋_GB2312" w:eastAsia="仿宋_GB2312"/>
          <w:color w:val="000000"/>
          <w:sz w:val="32"/>
          <w:szCs w:val="30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0"/>
          <w:lang w:val="en-US" w:eastAsia="zh-CN"/>
        </w:rPr>
        <w:t>一般公共预算拨款收入160.96万元（基本支出拨款90.96万元、项目支出拨款70万元）、事业单位经营收入200万元、上年结转（结余）0.49万元，收入总计361.45万元。</w:t>
      </w:r>
    </w:p>
    <w:p>
      <w:pPr>
        <w:widowControl/>
        <w:spacing w:line="600" w:lineRule="exact"/>
        <w:ind w:firstLine="640"/>
        <w:jc w:val="left"/>
        <w:rPr>
          <w:rFonts w:hint="eastAsia" w:ascii="仿宋_GB2312" w:eastAsia="仿宋_GB2312"/>
          <w:b/>
          <w:color w:val="000000"/>
          <w:sz w:val="32"/>
          <w:szCs w:val="30"/>
        </w:rPr>
      </w:pPr>
      <w:r>
        <w:rPr>
          <w:rFonts w:hint="eastAsia" w:ascii="仿宋_GB2312" w:eastAsia="仿宋_GB2312"/>
          <w:b/>
          <w:color w:val="000000"/>
          <w:sz w:val="32"/>
          <w:szCs w:val="30"/>
        </w:rPr>
        <w:t>（二）支出预算情况</w:t>
      </w:r>
    </w:p>
    <w:p>
      <w:pPr>
        <w:widowControl/>
        <w:spacing w:line="600" w:lineRule="exact"/>
        <w:ind w:firstLine="640"/>
        <w:jc w:val="left"/>
        <w:rPr>
          <w:rFonts w:hint="eastAsia" w:ascii="仿宋_GB2312" w:eastAsia="仿宋_GB2312"/>
          <w:color w:val="000000"/>
          <w:sz w:val="32"/>
          <w:szCs w:val="30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0"/>
          <w:lang w:eastAsia="zh-CN"/>
        </w:rPr>
        <w:t>社会保障和就业支出</w:t>
      </w:r>
      <w:r>
        <w:rPr>
          <w:rFonts w:hint="eastAsia" w:ascii="仿宋_GB2312" w:eastAsia="仿宋_GB2312"/>
          <w:color w:val="000000"/>
          <w:sz w:val="32"/>
          <w:szCs w:val="30"/>
          <w:lang w:val="en-US" w:eastAsia="zh-CN"/>
        </w:rPr>
        <w:t>6.64万元、卫生健康支出15.59万元、交通运输支出334.24万元、住房保障支出4.98万元，支出总计361.45万元。</w:t>
      </w:r>
    </w:p>
    <w:p>
      <w:pPr>
        <w:widowControl/>
        <w:spacing w:line="600" w:lineRule="exact"/>
        <w:ind w:firstLine="640"/>
        <w:jc w:val="left"/>
        <w:rPr>
          <w:rFonts w:hint="eastAsia" w:ascii="仿宋_GB2312" w:eastAsia="仿宋_GB2312"/>
          <w:b/>
          <w:color w:val="000000"/>
          <w:sz w:val="32"/>
          <w:szCs w:val="30"/>
        </w:rPr>
      </w:pPr>
      <w:r>
        <w:rPr>
          <w:rFonts w:hint="eastAsia" w:ascii="仿宋_GB2312" w:eastAsia="仿宋_GB2312"/>
          <w:b/>
          <w:color w:val="000000"/>
          <w:sz w:val="32"/>
          <w:szCs w:val="30"/>
        </w:rPr>
        <w:t>（三）财政拨款支出情况</w:t>
      </w:r>
    </w:p>
    <w:p>
      <w:pPr>
        <w:widowControl/>
        <w:spacing w:line="600" w:lineRule="exact"/>
        <w:ind w:firstLine="640"/>
        <w:jc w:val="left"/>
        <w:rPr>
          <w:rFonts w:hint="default" w:ascii="仿宋_GB2312" w:eastAsia="仿宋_GB2312"/>
          <w:color w:val="000000"/>
          <w:sz w:val="32"/>
          <w:szCs w:val="30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0"/>
          <w:lang w:val="en-US" w:eastAsia="zh-CN"/>
        </w:rPr>
        <w:t>2021年工资福利支出69.70万元，较上年预算安排减少了185.37万元；对个人和家庭的补助0.96万元，较上年预算安排减少了0.02万元；商品和服务支出20.30万元，较上年预算安排减少了43.51万元；运管专项工作经费70万元。</w:t>
      </w:r>
    </w:p>
    <w:p>
      <w:pPr>
        <w:widowControl/>
        <w:spacing w:line="600" w:lineRule="exact"/>
        <w:ind w:firstLine="640"/>
        <w:jc w:val="left"/>
        <w:rPr>
          <w:rFonts w:hint="eastAsia" w:ascii="仿宋_GB2312" w:eastAsia="仿宋_GB2312"/>
          <w:b/>
          <w:color w:val="000000"/>
          <w:sz w:val="32"/>
          <w:szCs w:val="30"/>
        </w:rPr>
      </w:pPr>
      <w:r>
        <w:rPr>
          <w:rFonts w:hint="eastAsia" w:ascii="仿宋_GB2312" w:eastAsia="仿宋_GB2312"/>
          <w:b/>
          <w:color w:val="000000"/>
          <w:sz w:val="32"/>
          <w:szCs w:val="30"/>
        </w:rPr>
        <w:t>（四）政府性基金情况</w:t>
      </w:r>
    </w:p>
    <w:p>
      <w:pPr>
        <w:widowControl/>
        <w:spacing w:line="600" w:lineRule="exact"/>
        <w:ind w:firstLine="640"/>
        <w:jc w:val="left"/>
        <w:rPr>
          <w:rFonts w:hint="eastAsia" w:ascii="仿宋_GB2312" w:eastAsia="仿宋_GB2312"/>
          <w:color w:val="000000"/>
          <w:sz w:val="32"/>
          <w:szCs w:val="30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0"/>
          <w:lang w:eastAsia="zh-CN"/>
        </w:rPr>
        <w:t>没有使用政府性基金预算拨款安排的支出。</w:t>
      </w:r>
    </w:p>
    <w:p>
      <w:pPr>
        <w:widowControl/>
        <w:numPr>
          <w:ilvl w:val="0"/>
          <w:numId w:val="1"/>
        </w:numPr>
        <w:spacing w:line="600" w:lineRule="exact"/>
        <w:ind w:firstLine="640"/>
        <w:jc w:val="left"/>
        <w:rPr>
          <w:rFonts w:hint="eastAsia" w:ascii="仿宋_GB2312" w:eastAsia="仿宋_GB2312"/>
          <w:b/>
          <w:color w:val="000000"/>
          <w:sz w:val="32"/>
          <w:szCs w:val="30"/>
        </w:rPr>
      </w:pPr>
      <w:r>
        <w:rPr>
          <w:rFonts w:hint="eastAsia" w:ascii="仿宋_GB2312" w:eastAsia="仿宋_GB2312"/>
          <w:b/>
          <w:color w:val="000000"/>
          <w:sz w:val="32"/>
          <w:szCs w:val="30"/>
        </w:rPr>
        <w:t>机关运行经费等重要事项的说明</w:t>
      </w:r>
    </w:p>
    <w:p>
      <w:pPr>
        <w:widowControl/>
        <w:numPr>
          <w:ilvl w:val="0"/>
          <w:numId w:val="0"/>
        </w:numPr>
        <w:spacing w:line="600" w:lineRule="exact"/>
        <w:jc w:val="left"/>
        <w:rPr>
          <w:rFonts w:hint="default" w:ascii="仿宋_GB2312" w:eastAsia="仿宋_GB2312"/>
          <w:b w:val="0"/>
          <w:bCs/>
          <w:color w:val="000000"/>
          <w:sz w:val="32"/>
          <w:szCs w:val="30"/>
          <w:lang w:val="en-US" w:eastAsia="zh-CN"/>
        </w:rPr>
      </w:pPr>
      <w:r>
        <w:rPr>
          <w:rFonts w:hint="eastAsia" w:ascii="仿宋_GB2312" w:eastAsia="仿宋_GB2312"/>
          <w:b/>
          <w:color w:val="000000"/>
          <w:sz w:val="32"/>
          <w:szCs w:val="30"/>
          <w:lang w:val="en-US" w:eastAsia="zh-CN"/>
        </w:rPr>
        <w:t xml:space="preserve">     </w:t>
      </w:r>
      <w:r>
        <w:rPr>
          <w:rFonts w:hint="eastAsia" w:ascii="仿宋_GB2312" w:eastAsia="仿宋_GB2312"/>
          <w:b w:val="0"/>
          <w:bCs/>
          <w:color w:val="000000"/>
          <w:sz w:val="32"/>
          <w:szCs w:val="30"/>
          <w:lang w:val="en-US" w:eastAsia="zh-CN"/>
        </w:rPr>
        <w:t>2021年部门机关运行费无预算。</w:t>
      </w:r>
    </w:p>
    <w:p>
      <w:pPr>
        <w:widowControl/>
        <w:spacing w:line="600" w:lineRule="exact"/>
        <w:ind w:firstLine="640"/>
        <w:jc w:val="left"/>
        <w:rPr>
          <w:rFonts w:hint="eastAsia" w:ascii="仿宋_GB2312" w:eastAsia="仿宋_GB2312"/>
          <w:b/>
          <w:color w:val="000000"/>
          <w:sz w:val="32"/>
          <w:szCs w:val="30"/>
        </w:rPr>
      </w:pPr>
      <w:r>
        <w:rPr>
          <w:rFonts w:hint="eastAsia" w:ascii="仿宋_GB2312" w:eastAsia="仿宋_GB2312"/>
          <w:b/>
          <w:color w:val="000000"/>
          <w:sz w:val="32"/>
          <w:szCs w:val="30"/>
        </w:rPr>
        <w:t>（六）政府采购情况</w:t>
      </w:r>
    </w:p>
    <w:p>
      <w:pPr>
        <w:widowControl/>
        <w:spacing w:line="600" w:lineRule="exact"/>
        <w:ind w:firstLine="947" w:firstLineChars="296"/>
        <w:jc w:val="left"/>
        <w:rPr>
          <w:rFonts w:hint="eastAsia" w:ascii="仿宋_GB2312" w:eastAsia="仿宋_GB2312"/>
          <w:b w:val="0"/>
          <w:bCs/>
          <w:color w:val="000000"/>
          <w:sz w:val="32"/>
          <w:szCs w:val="30"/>
          <w:lang w:eastAsia="zh-CN"/>
        </w:rPr>
      </w:pPr>
      <w:r>
        <w:rPr>
          <w:rFonts w:hint="eastAsia" w:ascii="仿宋_GB2312" w:eastAsia="仿宋_GB2312"/>
          <w:b w:val="0"/>
          <w:bCs/>
          <w:color w:val="000000"/>
          <w:sz w:val="32"/>
          <w:szCs w:val="30"/>
          <w:lang w:eastAsia="zh-CN"/>
        </w:rPr>
        <w:t>无。</w:t>
      </w:r>
    </w:p>
    <w:p>
      <w:pPr>
        <w:widowControl/>
        <w:spacing w:line="600" w:lineRule="exact"/>
        <w:ind w:firstLine="630" w:firstLineChars="196"/>
        <w:jc w:val="left"/>
        <w:rPr>
          <w:rFonts w:hint="eastAsia" w:ascii="仿宋_GB2312" w:eastAsia="仿宋_GB2312"/>
          <w:b/>
          <w:color w:val="000000"/>
          <w:sz w:val="32"/>
          <w:szCs w:val="30"/>
        </w:rPr>
      </w:pPr>
      <w:r>
        <w:rPr>
          <w:rFonts w:hint="eastAsia" w:ascii="仿宋_GB2312" w:eastAsia="仿宋_GB2312"/>
          <w:b/>
          <w:color w:val="000000"/>
          <w:sz w:val="32"/>
          <w:szCs w:val="30"/>
        </w:rPr>
        <w:t>（七）国有资产占有使用情况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960" w:firstLineChars="300"/>
        <w:jc w:val="left"/>
        <w:textAlignment w:val="auto"/>
        <w:rPr>
          <w:rFonts w:hint="eastAsia" w:ascii="仿宋_GB2312" w:eastAsia="仿宋_GB2312"/>
          <w:color w:val="000000"/>
          <w:sz w:val="32"/>
          <w:szCs w:val="30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0"/>
          <w:lang w:eastAsia="zh-CN"/>
        </w:rPr>
        <w:t>无。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803" w:firstLineChars="250"/>
        <w:jc w:val="left"/>
        <w:textAlignment w:val="auto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（八）绩效目标设置情况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800" w:firstLineChars="25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年实行绩效目标管理的项目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1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个，涉及资金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>70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万元：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800" w:firstLineChars="25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项目名称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:道路运输管理工作经费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800" w:firstLineChars="25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1.项目概述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：通过对企业安全隐患排查、车辆的年审、企业的质量考核等，增强行业安全监管水平；通过推广应用定制客运服务、实现全市建制村通客车、推进中心城区五区公交一体化建设等，提升群众出行的便捷度。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800" w:firstLineChars="250"/>
        <w:jc w:val="lef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2.立项依据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：《中华人民共和国道路运输条例》、《江西省道路运输条例》、赣州市人民政府办公室关于印发《推进市中心城区五区一体化实施方案》的通知（赣市府办发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[2019]1号）、赣州市省域副中心城市建设工作领导小组办公室关于印发《赣州市壮大中心城区实施方案》的通知（赣市省副建办字[2020]1号）、江西省交通运输厅赣交运输字[2020]25号和市交通运输局赣市交字[2020]76号文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800" w:firstLineChars="25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3.实施主体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：赣州市道路运输管理局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800" w:firstLineChars="250"/>
        <w:jc w:val="lef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4.实施周期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2021.1.1至2021.12.31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800" w:firstLineChars="250"/>
        <w:jc w:val="lef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5.年度预算安排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70万元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800" w:firstLineChars="250"/>
        <w:jc w:val="lef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6.年度绩效目标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70万元</w:t>
      </w:r>
    </w:p>
    <w:p>
      <w:pPr>
        <w:widowControl/>
        <w:spacing w:line="600" w:lineRule="exact"/>
        <w:ind w:firstLine="640"/>
        <w:jc w:val="left"/>
        <w:rPr>
          <w:rFonts w:hint="eastAsia" w:ascii="楷体_GB2312" w:eastAsia="楷体_GB2312"/>
          <w:b/>
          <w:color w:val="000000"/>
          <w:sz w:val="32"/>
          <w:szCs w:val="30"/>
        </w:rPr>
      </w:pPr>
      <w:r>
        <w:rPr>
          <w:rFonts w:hint="eastAsia" w:ascii="楷体_GB2312" w:hAnsi="Calibri" w:eastAsia="楷体_GB2312" w:cs="宋体"/>
          <w:b/>
          <w:color w:val="000000"/>
          <w:kern w:val="0"/>
          <w:sz w:val="32"/>
          <w:szCs w:val="32"/>
        </w:rPr>
        <w:t>二、</w:t>
      </w:r>
      <w:r>
        <w:rPr>
          <w:rFonts w:hint="eastAsia" w:ascii="楷体_GB2312" w:eastAsia="楷体_GB2312"/>
          <w:b/>
          <w:color w:val="000000"/>
          <w:sz w:val="32"/>
          <w:szCs w:val="30"/>
        </w:rPr>
        <w:t>202</w:t>
      </w:r>
      <w:r>
        <w:rPr>
          <w:rFonts w:hint="eastAsia" w:ascii="楷体_GB2312" w:eastAsia="楷体_GB2312"/>
          <w:b/>
          <w:color w:val="000000"/>
          <w:sz w:val="32"/>
          <w:szCs w:val="30"/>
          <w:lang w:val="en-US" w:eastAsia="zh-CN"/>
        </w:rPr>
        <w:t>1</w:t>
      </w:r>
      <w:r>
        <w:rPr>
          <w:rFonts w:hint="eastAsia" w:ascii="楷体_GB2312" w:eastAsia="楷体_GB2312"/>
          <w:b/>
          <w:color w:val="000000"/>
          <w:sz w:val="32"/>
          <w:szCs w:val="30"/>
        </w:rPr>
        <w:t>年“三公</w:t>
      </w:r>
      <w:r>
        <w:rPr>
          <w:rFonts w:ascii="楷体_GB2312" w:eastAsia="楷体_GB2312"/>
          <w:b/>
          <w:color w:val="000000"/>
          <w:sz w:val="32"/>
          <w:szCs w:val="30"/>
        </w:rPr>
        <w:t>”</w:t>
      </w:r>
      <w:r>
        <w:rPr>
          <w:rFonts w:hint="eastAsia" w:ascii="楷体_GB2312" w:eastAsia="楷体_GB2312"/>
          <w:b/>
          <w:color w:val="000000"/>
          <w:sz w:val="32"/>
          <w:szCs w:val="30"/>
        </w:rPr>
        <w:t>经费预算情况说明</w:t>
      </w:r>
    </w:p>
    <w:p>
      <w:pPr>
        <w:widowControl/>
        <w:spacing w:line="600" w:lineRule="exact"/>
        <w:ind w:firstLine="640"/>
        <w:jc w:val="left"/>
        <w:rPr>
          <w:rFonts w:hint="eastAsia" w:ascii="仿宋_GB2312" w:eastAsia="仿宋_GB2312"/>
          <w:color w:val="000000"/>
          <w:sz w:val="32"/>
          <w:szCs w:val="30"/>
        </w:rPr>
      </w:pPr>
      <w:r>
        <w:rPr>
          <w:rFonts w:hint="eastAsia" w:ascii="仿宋_GB2312" w:eastAsia="仿宋_GB2312"/>
          <w:color w:val="000000"/>
          <w:sz w:val="32"/>
          <w:szCs w:val="30"/>
        </w:rPr>
        <w:t>202</w:t>
      </w:r>
      <w:r>
        <w:rPr>
          <w:rFonts w:hint="eastAsia" w:ascii="仿宋_GB2312" w:eastAsia="仿宋_GB2312"/>
          <w:color w:val="000000"/>
          <w:sz w:val="32"/>
          <w:szCs w:val="30"/>
          <w:lang w:val="en-US" w:eastAsia="zh-CN"/>
        </w:rPr>
        <w:t>1</w:t>
      </w:r>
      <w:r>
        <w:rPr>
          <w:rFonts w:hint="eastAsia" w:ascii="仿宋_GB2312" w:eastAsia="仿宋_GB2312"/>
          <w:color w:val="000000"/>
          <w:sz w:val="32"/>
          <w:szCs w:val="30"/>
        </w:rPr>
        <w:t>年赣州市</w:t>
      </w:r>
      <w:r>
        <w:rPr>
          <w:rFonts w:hint="eastAsia" w:ascii="仿宋_GB2312" w:eastAsia="仿宋_GB2312"/>
          <w:color w:val="000000"/>
          <w:sz w:val="32"/>
          <w:szCs w:val="30"/>
          <w:lang w:eastAsia="zh-CN"/>
        </w:rPr>
        <w:t>道路运输管理局</w:t>
      </w:r>
      <w:r>
        <w:rPr>
          <w:rFonts w:hint="eastAsia" w:ascii="仿宋_GB2312" w:eastAsia="仿宋_GB2312"/>
          <w:color w:val="000000"/>
          <w:sz w:val="32"/>
          <w:szCs w:val="30"/>
        </w:rPr>
        <w:t>“三公”经费一般公共预算安排</w:t>
      </w:r>
      <w:r>
        <w:rPr>
          <w:rFonts w:hint="eastAsia" w:ascii="仿宋_GB2312" w:eastAsia="仿宋_GB2312"/>
          <w:color w:val="000000"/>
          <w:sz w:val="32"/>
          <w:szCs w:val="30"/>
          <w:lang w:val="en-US" w:eastAsia="zh-CN"/>
        </w:rPr>
        <w:t>12</w:t>
      </w:r>
      <w:r>
        <w:rPr>
          <w:rFonts w:hint="eastAsia" w:ascii="仿宋_GB2312" w:eastAsia="仿宋_GB2312"/>
          <w:color w:val="000000"/>
          <w:sz w:val="32"/>
          <w:szCs w:val="30"/>
        </w:rPr>
        <w:t>万元。其中：</w:t>
      </w:r>
    </w:p>
    <w:p>
      <w:pPr>
        <w:widowControl/>
        <w:spacing w:line="600" w:lineRule="exact"/>
        <w:ind w:firstLine="640"/>
        <w:jc w:val="left"/>
        <w:rPr>
          <w:rFonts w:hint="eastAsia" w:ascii="仿宋_GB2312" w:eastAsia="仿宋_GB2312"/>
          <w:color w:val="000000"/>
          <w:sz w:val="32"/>
          <w:szCs w:val="30"/>
        </w:rPr>
      </w:pPr>
      <w:r>
        <w:rPr>
          <w:rFonts w:hint="eastAsia" w:ascii="仿宋_GB2312" w:eastAsia="仿宋_GB2312"/>
          <w:color w:val="000000"/>
          <w:sz w:val="32"/>
          <w:szCs w:val="30"/>
        </w:rPr>
        <w:t>因公出国（境）费</w:t>
      </w:r>
      <w:r>
        <w:rPr>
          <w:rFonts w:hint="eastAsia" w:ascii="仿宋_GB2312" w:eastAsia="仿宋_GB2312"/>
          <w:color w:val="000000"/>
          <w:sz w:val="32"/>
          <w:szCs w:val="30"/>
          <w:lang w:val="en-US" w:eastAsia="zh-CN"/>
        </w:rPr>
        <w:t>0</w:t>
      </w:r>
      <w:r>
        <w:rPr>
          <w:rFonts w:hint="eastAsia" w:ascii="仿宋_GB2312" w:eastAsia="仿宋_GB2312"/>
          <w:color w:val="000000"/>
          <w:sz w:val="32"/>
          <w:szCs w:val="30"/>
        </w:rPr>
        <w:t>万元。</w:t>
      </w:r>
    </w:p>
    <w:p>
      <w:pPr>
        <w:widowControl/>
        <w:spacing w:line="600" w:lineRule="exact"/>
        <w:ind w:firstLine="640"/>
        <w:jc w:val="left"/>
        <w:rPr>
          <w:rFonts w:hint="eastAsia" w:ascii="仿宋_GB2312" w:eastAsia="仿宋_GB2312"/>
          <w:color w:val="000000"/>
          <w:sz w:val="32"/>
          <w:szCs w:val="30"/>
        </w:rPr>
      </w:pPr>
      <w:r>
        <w:rPr>
          <w:rFonts w:hint="eastAsia" w:ascii="仿宋_GB2312" w:eastAsia="仿宋_GB2312"/>
          <w:color w:val="000000"/>
          <w:sz w:val="32"/>
          <w:szCs w:val="30"/>
        </w:rPr>
        <w:t>公务接待费</w:t>
      </w:r>
      <w:r>
        <w:rPr>
          <w:rFonts w:hint="eastAsia" w:ascii="仿宋_GB2312" w:eastAsia="仿宋_GB2312"/>
          <w:color w:val="000000"/>
          <w:sz w:val="32"/>
          <w:szCs w:val="30"/>
          <w:lang w:val="en-US" w:eastAsia="zh-CN"/>
        </w:rPr>
        <w:t>12</w:t>
      </w:r>
      <w:r>
        <w:rPr>
          <w:rFonts w:hint="eastAsia" w:ascii="仿宋_GB2312" w:eastAsia="仿宋_GB2312"/>
          <w:color w:val="000000"/>
          <w:sz w:val="32"/>
          <w:szCs w:val="30"/>
        </w:rPr>
        <w:t>万元，比上年减</w:t>
      </w:r>
      <w:r>
        <w:rPr>
          <w:rFonts w:hint="eastAsia" w:ascii="仿宋_GB2312" w:eastAsia="仿宋_GB2312"/>
          <w:color w:val="000000"/>
          <w:sz w:val="32"/>
          <w:szCs w:val="30"/>
          <w:lang w:eastAsia="zh-CN"/>
        </w:rPr>
        <w:t>少</w:t>
      </w:r>
      <w:bookmarkStart w:id="0" w:name="_GoBack"/>
      <w:bookmarkEnd w:id="0"/>
      <w:r>
        <w:rPr>
          <w:rFonts w:hint="eastAsia" w:ascii="仿宋_GB2312" w:eastAsia="仿宋_GB2312"/>
          <w:color w:val="000000"/>
          <w:sz w:val="32"/>
          <w:szCs w:val="30"/>
          <w:lang w:val="en-US" w:eastAsia="zh-CN"/>
        </w:rPr>
        <w:t>2.25</w:t>
      </w:r>
      <w:r>
        <w:rPr>
          <w:rFonts w:hint="eastAsia" w:ascii="仿宋_GB2312" w:eastAsia="仿宋_GB2312"/>
          <w:color w:val="000000"/>
          <w:sz w:val="32"/>
          <w:szCs w:val="30"/>
        </w:rPr>
        <w:t>万元，主要原因是：</w:t>
      </w:r>
      <w:r>
        <w:rPr>
          <w:rFonts w:hint="eastAsia" w:ascii="仿宋_GB2312" w:eastAsia="仿宋_GB2312"/>
          <w:color w:val="000000"/>
          <w:sz w:val="32"/>
          <w:szCs w:val="30"/>
          <w:lang w:eastAsia="zh-CN"/>
        </w:rPr>
        <w:t>认真贯彻落实中央八项规定要求，厉行节约、严格控制支出</w:t>
      </w:r>
      <w:r>
        <w:rPr>
          <w:rFonts w:hint="eastAsia" w:ascii="仿宋_GB2312" w:eastAsia="仿宋_GB2312"/>
          <w:color w:val="000000"/>
          <w:sz w:val="32"/>
          <w:szCs w:val="30"/>
        </w:rPr>
        <w:t>。</w:t>
      </w:r>
    </w:p>
    <w:p>
      <w:pPr>
        <w:widowControl/>
        <w:spacing w:line="600" w:lineRule="exact"/>
        <w:ind w:firstLine="640"/>
        <w:jc w:val="left"/>
        <w:rPr>
          <w:rFonts w:hint="eastAsia" w:ascii="仿宋_GB2312" w:eastAsia="仿宋_GB2312"/>
          <w:color w:val="000000"/>
          <w:sz w:val="32"/>
          <w:szCs w:val="30"/>
        </w:rPr>
      </w:pPr>
      <w:r>
        <w:rPr>
          <w:rFonts w:hint="eastAsia" w:ascii="仿宋_GB2312" w:eastAsia="仿宋_GB2312"/>
          <w:color w:val="000000"/>
          <w:sz w:val="32"/>
          <w:szCs w:val="30"/>
        </w:rPr>
        <w:t>公务用车运行维护费</w:t>
      </w:r>
      <w:r>
        <w:rPr>
          <w:rFonts w:hint="eastAsia" w:ascii="仿宋_GB2312" w:eastAsia="仿宋_GB2312"/>
          <w:color w:val="000000"/>
          <w:sz w:val="32"/>
          <w:szCs w:val="30"/>
          <w:lang w:val="en-US" w:eastAsia="zh-CN"/>
        </w:rPr>
        <w:t>0</w:t>
      </w:r>
      <w:r>
        <w:rPr>
          <w:rFonts w:hint="eastAsia" w:ascii="仿宋_GB2312" w:eastAsia="仿宋_GB2312"/>
          <w:color w:val="000000"/>
          <w:sz w:val="32"/>
          <w:szCs w:val="30"/>
        </w:rPr>
        <w:t>万。</w:t>
      </w:r>
    </w:p>
    <w:p>
      <w:pPr>
        <w:widowControl/>
        <w:spacing w:line="600" w:lineRule="exact"/>
        <w:ind w:firstLine="640"/>
        <w:jc w:val="left"/>
        <w:rPr>
          <w:rFonts w:hint="eastAsia" w:ascii="仿宋_GB2312" w:eastAsia="仿宋_GB2312"/>
          <w:color w:val="000000"/>
          <w:sz w:val="32"/>
          <w:szCs w:val="30"/>
        </w:rPr>
      </w:pPr>
      <w:r>
        <w:rPr>
          <w:rFonts w:hint="eastAsia" w:ascii="仿宋_GB2312" w:eastAsia="仿宋_GB2312"/>
          <w:color w:val="000000"/>
          <w:sz w:val="32"/>
          <w:szCs w:val="30"/>
        </w:rPr>
        <w:t>公务用车购置费</w:t>
      </w:r>
      <w:r>
        <w:rPr>
          <w:rFonts w:hint="eastAsia" w:ascii="仿宋_GB2312" w:eastAsia="仿宋_GB2312"/>
          <w:color w:val="000000"/>
          <w:sz w:val="32"/>
          <w:szCs w:val="30"/>
          <w:lang w:val="en-US" w:eastAsia="zh-CN"/>
        </w:rPr>
        <w:t>0</w:t>
      </w:r>
      <w:r>
        <w:rPr>
          <w:rFonts w:hint="eastAsia" w:ascii="仿宋_GB2312" w:eastAsia="仿宋_GB2312"/>
          <w:color w:val="000000"/>
          <w:sz w:val="32"/>
          <w:szCs w:val="30"/>
        </w:rPr>
        <w:t>万元。</w:t>
      </w:r>
    </w:p>
    <w:p>
      <w:pPr>
        <w:widowControl/>
        <w:spacing w:line="600" w:lineRule="exact"/>
        <w:ind w:firstLine="640"/>
        <w:jc w:val="left"/>
        <w:rPr>
          <w:rFonts w:hint="eastAsia" w:ascii="仿宋_GB2312" w:eastAsia="仿宋_GB2312"/>
          <w:color w:val="000000"/>
          <w:sz w:val="32"/>
          <w:szCs w:val="30"/>
        </w:rPr>
      </w:pPr>
    </w:p>
    <w:p>
      <w:pPr>
        <w:widowControl/>
        <w:spacing w:line="600" w:lineRule="exact"/>
        <w:ind w:firstLine="640"/>
        <w:jc w:val="left"/>
        <w:rPr>
          <w:rFonts w:hint="eastAsia" w:ascii="仿宋_GB2312" w:eastAsia="仿宋_GB2312"/>
          <w:color w:val="000000"/>
          <w:sz w:val="32"/>
          <w:szCs w:val="30"/>
        </w:rPr>
      </w:pPr>
    </w:p>
    <w:p>
      <w:pPr>
        <w:widowControl/>
        <w:spacing w:line="600" w:lineRule="exact"/>
        <w:ind w:firstLine="1280" w:firstLineChars="400"/>
        <w:jc w:val="left"/>
        <w:rPr>
          <w:rFonts w:hint="eastAsia" w:ascii="仿宋_GB2312" w:eastAsia="仿宋_GB2312"/>
          <w:color w:val="000000"/>
          <w:sz w:val="32"/>
          <w:szCs w:val="30"/>
          <w:lang w:val="en-US" w:eastAsia="zh-CN"/>
        </w:rPr>
      </w:pPr>
    </w:p>
    <w:p>
      <w:pPr>
        <w:widowControl/>
        <w:spacing w:line="600" w:lineRule="exact"/>
        <w:ind w:firstLine="5760" w:firstLineChars="1800"/>
        <w:jc w:val="left"/>
        <w:rPr>
          <w:rFonts w:hint="default" w:ascii="仿宋_GB2312" w:eastAsia="仿宋_GB2312"/>
          <w:color w:val="000000"/>
          <w:sz w:val="32"/>
          <w:szCs w:val="30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0"/>
          <w:lang w:val="en-US" w:eastAsia="zh-CN"/>
        </w:rPr>
        <w:t>2021年3月30日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75AC083"/>
    <w:multiLevelType w:val="singleLevel"/>
    <w:tmpl w:val="A75AC083"/>
    <w:lvl w:ilvl="0" w:tentative="0">
      <w:start w:val="5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6659A9"/>
    <w:rsid w:val="0CEB4537"/>
    <w:rsid w:val="13E237E6"/>
    <w:rsid w:val="1E074FF7"/>
    <w:rsid w:val="2A007F91"/>
    <w:rsid w:val="4C6C06A5"/>
    <w:rsid w:val="4CD0796D"/>
    <w:rsid w:val="4CE01D50"/>
    <w:rsid w:val="50E53ABA"/>
    <w:rsid w:val="526659A9"/>
    <w:rsid w:val="585A414D"/>
    <w:rsid w:val="63E82A99"/>
    <w:rsid w:val="74DF0750"/>
    <w:rsid w:val="77BC057A"/>
    <w:rsid w:val="79341DBE"/>
    <w:rsid w:val="7C796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57</TotalTime>
  <ScaleCrop>false</ScaleCrop>
  <LinksUpToDate>false</LinksUpToDate>
  <CharactersWithSpaces>0</CharactersWithSpaces>
  <Application>WPS Office_11.1.0.10446_F1E327BC-269C-435d-A152-05C5408002CA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2021-03-30T08:30:00Z</dcterms:created>
  <dc:creator>gzsygj</dc:creator>
  <cp:lastModifiedBy>gzsygj</cp:lastModifiedBy>
  <dcterms:modified xsi:type="dcterms:W3CDTF">2021-03-30T10:48:24Z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2052-11.1.0.10446</vt:lpwstr>
  </property>
  <property fmtid="{D5CDD505-2E9C-101B-9397-08002B2CF9AE}" pid="3" name="ICV">
    <vt:lpwstr>CD877F4FEA5C40B491F26A3607C375E4</vt:lpwstr>
  </property>
</Properties>
</file>