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宋体" w:hAnsi="宋体" w:cs="宋体"/>
          <w:b/>
          <w:sz w:val="44"/>
          <w:szCs w:val="44"/>
        </w:rPr>
      </w:pPr>
    </w:p>
    <w:p>
      <w:pPr>
        <w:jc w:val="center"/>
        <w:rPr>
          <w:rFonts w:hint="eastAsia" w:ascii="宋体" w:hAnsi="宋体" w:cs="宋体"/>
          <w:b/>
          <w:sz w:val="44"/>
          <w:szCs w:val="44"/>
        </w:rPr>
      </w:pPr>
    </w:p>
    <w:p>
      <w:pPr>
        <w:jc w:val="center"/>
        <w:rPr>
          <w:rFonts w:hint="eastAsia" w:ascii="宋体" w:hAnsi="宋体" w:cs="宋体"/>
          <w:b/>
          <w:sz w:val="44"/>
          <w:szCs w:val="44"/>
        </w:rPr>
      </w:pPr>
    </w:p>
    <w:p>
      <w:pPr>
        <w:jc w:val="center"/>
        <w:rPr>
          <w:rFonts w:hint="eastAsia" w:ascii="宋体" w:hAnsi="宋体" w:cs="宋体"/>
          <w:b/>
          <w:sz w:val="44"/>
          <w:szCs w:val="44"/>
        </w:rPr>
      </w:pPr>
    </w:p>
    <w:p>
      <w:pPr>
        <w:jc w:val="center"/>
        <w:rPr>
          <w:rFonts w:hint="eastAsia" w:ascii="宋体" w:hAnsi="宋体" w:cs="宋体"/>
          <w:b/>
          <w:sz w:val="44"/>
          <w:szCs w:val="44"/>
        </w:rPr>
      </w:pPr>
      <w:r>
        <w:rPr>
          <w:rFonts w:hint="eastAsia" w:ascii="宋体" w:hAnsi="宋体" w:cs="宋体"/>
          <w:b/>
          <w:sz w:val="44"/>
          <w:szCs w:val="44"/>
        </w:rPr>
        <w:t>赣州市市场监督管理局</w:t>
      </w:r>
    </w:p>
    <w:p>
      <w:pPr>
        <w:jc w:val="center"/>
        <w:rPr>
          <w:rFonts w:hint="eastAsia" w:ascii="宋体" w:hAnsi="宋体" w:cs="宋体"/>
          <w:b/>
          <w:sz w:val="44"/>
          <w:szCs w:val="44"/>
        </w:rPr>
      </w:pPr>
      <w:r>
        <w:rPr>
          <w:rFonts w:hint="eastAsia" w:ascii="宋体" w:hAnsi="宋体" w:cs="宋体"/>
          <w:b/>
          <w:sz w:val="44"/>
          <w:szCs w:val="44"/>
        </w:rPr>
        <w:t>2022年第</w:t>
      </w:r>
      <w:r>
        <w:rPr>
          <w:rFonts w:hint="eastAsia" w:ascii="宋体" w:hAnsi="宋体" w:cs="宋体"/>
          <w:b/>
          <w:sz w:val="44"/>
          <w:szCs w:val="44"/>
          <w:lang w:eastAsia="zh-CN"/>
        </w:rPr>
        <w:t>四</w:t>
      </w:r>
      <w:r>
        <w:rPr>
          <w:rFonts w:hint="eastAsia" w:ascii="宋体" w:hAnsi="宋体" w:cs="宋体"/>
          <w:b/>
          <w:sz w:val="44"/>
          <w:szCs w:val="44"/>
        </w:rPr>
        <w:t>季度12315投诉举报数据分析报  告</w:t>
      </w:r>
    </w:p>
    <w:p>
      <w:pPr>
        <w:jc w:val="center"/>
        <w:rPr>
          <w:rFonts w:hint="eastAsia" w:ascii="宋体" w:hAnsi="宋体" w:cs="宋体"/>
          <w:b/>
          <w:sz w:val="44"/>
          <w:szCs w:val="44"/>
        </w:rPr>
      </w:pPr>
    </w:p>
    <w:p>
      <w:pPr>
        <w:numPr>
          <w:ilvl w:val="0"/>
          <w:numId w:val="1"/>
        </w:numPr>
        <w:ind w:firstLine="643" w:firstLineChars="200"/>
        <w:rPr>
          <w:rFonts w:hint="eastAsia" w:ascii="仿宋_GB2312" w:eastAsia="仿宋_GB2312"/>
          <w:b/>
          <w:bCs/>
          <w:sz w:val="32"/>
          <w:szCs w:val="32"/>
        </w:rPr>
      </w:pPr>
      <w:r>
        <w:rPr>
          <w:rFonts w:hint="eastAsia" w:ascii="仿宋_GB2312" w:eastAsia="仿宋_GB2312"/>
          <w:b/>
          <w:bCs/>
          <w:sz w:val="32"/>
          <w:szCs w:val="32"/>
        </w:rPr>
        <w:t>总体情况</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t>（一）</w:t>
      </w:r>
      <w:r>
        <w:rPr>
          <w:rFonts w:hint="eastAsia" w:ascii="仿宋_GB2312" w:eastAsia="仿宋_GB2312"/>
          <w:sz w:val="32"/>
          <w:szCs w:val="32"/>
        </w:rPr>
        <w:t>2022年</w:t>
      </w:r>
      <w:r>
        <w:rPr>
          <w:rFonts w:hint="eastAsia" w:ascii="仿宋_GB2312" w:eastAsia="仿宋_GB2312"/>
          <w:sz w:val="32"/>
          <w:szCs w:val="32"/>
          <w:lang w:eastAsia="zh-CN"/>
        </w:rPr>
        <w:t>四</w:t>
      </w:r>
      <w:r>
        <w:rPr>
          <w:rFonts w:hint="eastAsia" w:ascii="仿宋_GB2312" w:eastAsia="仿宋_GB2312"/>
          <w:sz w:val="32"/>
          <w:szCs w:val="32"/>
        </w:rPr>
        <w:t>季度，12315投诉举报中心共接收消费者各类诉求</w:t>
      </w:r>
      <w:r>
        <w:rPr>
          <w:rFonts w:hint="eastAsia" w:ascii="仿宋_GB2312" w:eastAsia="仿宋_GB2312"/>
          <w:sz w:val="32"/>
          <w:szCs w:val="32"/>
          <w:lang w:val="en-US" w:eastAsia="zh-CN"/>
        </w:rPr>
        <w:t>46210</w:t>
      </w:r>
      <w:r>
        <w:rPr>
          <w:rFonts w:hint="eastAsia" w:ascii="仿宋_GB2312" w:eastAsia="仿宋_GB2312"/>
          <w:sz w:val="32"/>
          <w:szCs w:val="32"/>
        </w:rPr>
        <w:t>件，与2021年同期相比增长</w:t>
      </w:r>
      <w:r>
        <w:rPr>
          <w:rFonts w:hint="eastAsia" w:ascii="仿宋_GB2312" w:eastAsia="仿宋_GB2312"/>
          <w:sz w:val="32"/>
          <w:szCs w:val="32"/>
          <w:lang w:val="en-US" w:eastAsia="zh-CN"/>
        </w:rPr>
        <w:t>48.3</w:t>
      </w:r>
      <w:r>
        <w:rPr>
          <w:rFonts w:hint="eastAsia" w:ascii="仿宋_GB2312" w:eastAsia="仿宋_GB2312"/>
          <w:sz w:val="32"/>
          <w:szCs w:val="32"/>
        </w:rPr>
        <w:t>%，</w:t>
      </w:r>
      <w:r>
        <w:rPr>
          <w:rFonts w:hint="eastAsia" w:ascii="仿宋_GB2312" w:eastAsia="仿宋_GB2312" w:cs="Times New Roman"/>
          <w:sz w:val="32"/>
          <w:szCs w:val="32"/>
          <w:lang w:val="en-US" w:eastAsia="zh-CN"/>
        </w:rPr>
        <w:t>环比增长11.4%，</w:t>
      </w:r>
      <w:r>
        <w:rPr>
          <w:rFonts w:hint="eastAsia" w:ascii="仿宋_GB2312" w:eastAsia="仿宋_GB2312"/>
          <w:sz w:val="32"/>
          <w:szCs w:val="32"/>
        </w:rPr>
        <w:t>其中咨询</w:t>
      </w:r>
      <w:r>
        <w:rPr>
          <w:rFonts w:hint="eastAsia" w:ascii="仿宋_GB2312" w:eastAsia="仿宋_GB2312"/>
          <w:sz w:val="32"/>
          <w:szCs w:val="32"/>
          <w:lang w:val="en-US" w:eastAsia="zh-CN"/>
        </w:rPr>
        <w:t>23802</w:t>
      </w:r>
      <w:r>
        <w:rPr>
          <w:rFonts w:hint="eastAsia" w:ascii="仿宋_GB2312" w:eastAsia="仿宋_GB2312"/>
          <w:sz w:val="32"/>
          <w:szCs w:val="32"/>
        </w:rPr>
        <w:t>件、投诉</w:t>
      </w:r>
      <w:r>
        <w:rPr>
          <w:rFonts w:hint="eastAsia" w:ascii="仿宋_GB2312" w:eastAsia="仿宋_GB2312"/>
          <w:sz w:val="32"/>
          <w:szCs w:val="32"/>
          <w:lang w:val="en-US" w:eastAsia="zh-CN"/>
        </w:rPr>
        <w:t>15687</w:t>
      </w:r>
      <w:r>
        <w:rPr>
          <w:rFonts w:hint="eastAsia" w:ascii="仿宋_GB2312" w:eastAsia="仿宋_GB2312"/>
          <w:sz w:val="32"/>
          <w:szCs w:val="32"/>
        </w:rPr>
        <w:t>件、举报</w:t>
      </w:r>
      <w:r>
        <w:rPr>
          <w:rFonts w:hint="eastAsia" w:ascii="仿宋_GB2312" w:eastAsia="仿宋_GB2312"/>
          <w:sz w:val="32"/>
          <w:szCs w:val="32"/>
          <w:lang w:val="en-US" w:eastAsia="zh-CN"/>
        </w:rPr>
        <w:t>6721</w:t>
      </w:r>
      <w:r>
        <w:rPr>
          <w:rFonts w:hint="eastAsia" w:ascii="仿宋_GB2312" w:eastAsia="仿宋_GB2312"/>
          <w:sz w:val="32"/>
          <w:szCs w:val="32"/>
        </w:rPr>
        <w:t>件，</w:t>
      </w:r>
      <w:r>
        <w:rPr>
          <w:rFonts w:hint="eastAsia" w:ascii="仿宋_GB2312" w:eastAsia="仿宋_GB2312"/>
          <w:sz w:val="32"/>
          <w:szCs w:val="32"/>
          <w:lang w:eastAsia="zh-CN"/>
        </w:rPr>
        <w:t>接收的诉求</w:t>
      </w:r>
      <w:r>
        <w:rPr>
          <w:rFonts w:hint="eastAsia" w:ascii="仿宋_GB2312" w:eastAsia="仿宋_GB2312"/>
          <w:sz w:val="32"/>
          <w:szCs w:val="32"/>
        </w:rPr>
        <w:t>其中通过全国12315平台接收消费诉求</w:t>
      </w:r>
      <w:r>
        <w:rPr>
          <w:rFonts w:hint="eastAsia" w:ascii="仿宋_GB2312" w:eastAsia="仿宋_GB2312"/>
          <w:sz w:val="32"/>
          <w:szCs w:val="32"/>
          <w:lang w:val="en-US" w:eastAsia="zh-CN"/>
        </w:rPr>
        <w:t>45864</w:t>
      </w:r>
      <w:r>
        <w:rPr>
          <w:rFonts w:hint="eastAsia" w:ascii="仿宋_GB2312" w:eastAsia="仿宋_GB2312"/>
          <w:sz w:val="32"/>
          <w:szCs w:val="32"/>
        </w:rPr>
        <w:t>件，通过其他途径</w:t>
      </w:r>
      <w:r>
        <w:rPr>
          <w:rFonts w:hint="eastAsia" w:ascii="仿宋_GB2312" w:eastAsia="仿宋_GB2312"/>
          <w:sz w:val="32"/>
          <w:szCs w:val="32"/>
          <w:lang w:eastAsia="zh-CN"/>
        </w:rPr>
        <w:t>接收</w:t>
      </w:r>
      <w:r>
        <w:rPr>
          <w:rFonts w:hint="eastAsia" w:ascii="仿宋_GB2312" w:eastAsia="仿宋_GB2312"/>
          <w:sz w:val="32"/>
          <w:szCs w:val="32"/>
        </w:rPr>
        <w:t>消费者投诉举报</w:t>
      </w:r>
      <w:r>
        <w:rPr>
          <w:rFonts w:hint="eastAsia" w:ascii="仿宋_GB2312" w:eastAsia="仿宋_GB2312"/>
          <w:sz w:val="32"/>
          <w:szCs w:val="32"/>
          <w:lang w:val="en-US" w:eastAsia="zh-CN"/>
        </w:rPr>
        <w:t>346</w:t>
      </w:r>
      <w:r>
        <w:rPr>
          <w:rFonts w:hint="eastAsia" w:ascii="仿宋_GB2312" w:eastAsia="仿宋_GB2312"/>
          <w:sz w:val="32"/>
          <w:szCs w:val="32"/>
        </w:rPr>
        <w:t>件（12345政府服务热线转办单</w:t>
      </w:r>
      <w:r>
        <w:rPr>
          <w:rFonts w:hint="eastAsia" w:ascii="仿宋_GB2312" w:eastAsia="仿宋_GB2312"/>
          <w:sz w:val="32"/>
          <w:szCs w:val="32"/>
          <w:lang w:val="en-US" w:eastAsia="zh-CN"/>
        </w:rPr>
        <w:t>264</w:t>
      </w:r>
      <w:r>
        <w:rPr>
          <w:rFonts w:hint="eastAsia" w:ascii="仿宋_GB2312" w:eastAsia="仿宋_GB2312"/>
          <w:sz w:val="32"/>
          <w:szCs w:val="32"/>
        </w:rPr>
        <w:t>件、来信来函</w:t>
      </w:r>
      <w:r>
        <w:rPr>
          <w:rFonts w:hint="eastAsia" w:ascii="仿宋_GB2312" w:eastAsia="仿宋_GB2312"/>
          <w:sz w:val="32"/>
          <w:szCs w:val="32"/>
          <w:lang w:val="en-US" w:eastAsia="zh-CN"/>
        </w:rPr>
        <w:t>46</w:t>
      </w:r>
      <w:r>
        <w:rPr>
          <w:rFonts w:hint="eastAsia" w:ascii="仿宋_GB2312" w:eastAsia="仿宋_GB2312"/>
          <w:sz w:val="32"/>
          <w:szCs w:val="32"/>
        </w:rPr>
        <w:t>件、问政平台</w:t>
      </w:r>
      <w:r>
        <w:rPr>
          <w:rFonts w:hint="eastAsia" w:ascii="仿宋_GB2312" w:eastAsia="仿宋_GB2312"/>
          <w:sz w:val="32"/>
          <w:szCs w:val="32"/>
          <w:lang w:val="en-US" w:eastAsia="zh-CN"/>
        </w:rPr>
        <w:t>36</w:t>
      </w:r>
      <w:r>
        <w:rPr>
          <w:rFonts w:hint="eastAsia" w:ascii="仿宋_GB2312" w:eastAsia="仿宋_GB2312"/>
          <w:sz w:val="32"/>
          <w:szCs w:val="32"/>
        </w:rPr>
        <w:t>件）。截至目前，已办结</w:t>
      </w:r>
      <w:r>
        <w:rPr>
          <w:rFonts w:hint="eastAsia" w:ascii="仿宋_GB2312" w:eastAsia="仿宋_GB2312"/>
          <w:sz w:val="32"/>
          <w:szCs w:val="32"/>
          <w:lang w:val="en-US" w:eastAsia="zh-CN"/>
        </w:rPr>
        <w:t>44015</w:t>
      </w:r>
      <w:r>
        <w:rPr>
          <w:rFonts w:hint="eastAsia" w:ascii="仿宋_GB2312" w:eastAsia="仿宋_GB2312"/>
          <w:sz w:val="32"/>
          <w:szCs w:val="32"/>
        </w:rPr>
        <w:t>件，办结率</w:t>
      </w:r>
      <w:r>
        <w:rPr>
          <w:rFonts w:hint="eastAsia" w:ascii="仿宋_GB2312" w:eastAsia="仿宋_GB2312"/>
          <w:sz w:val="32"/>
          <w:szCs w:val="32"/>
          <w:lang w:val="en-US" w:eastAsia="zh-CN"/>
        </w:rPr>
        <w:t>95.2</w:t>
      </w:r>
      <w:r>
        <w:rPr>
          <w:rFonts w:hint="eastAsia" w:ascii="仿宋_GB2312" w:eastAsia="仿宋_GB2312"/>
          <w:sz w:val="32"/>
          <w:szCs w:val="32"/>
        </w:rPr>
        <w:t>%，为消费者挽回经济损失</w:t>
      </w:r>
      <w:r>
        <w:rPr>
          <w:rFonts w:hint="eastAsia" w:ascii="仿宋_GB2312" w:eastAsia="仿宋_GB2312"/>
          <w:sz w:val="32"/>
          <w:szCs w:val="32"/>
          <w:lang w:val="en-US" w:eastAsia="zh-CN"/>
        </w:rPr>
        <w:t>178.84</w:t>
      </w:r>
      <w:r>
        <w:rPr>
          <w:rFonts w:hint="eastAsia" w:ascii="仿宋_GB2312" w:eastAsia="仿宋_GB2312"/>
          <w:sz w:val="32"/>
          <w:szCs w:val="32"/>
        </w:rPr>
        <w:t>万元。</w:t>
      </w:r>
    </w:p>
    <w:p>
      <w:pPr>
        <w:ind w:firstLine="640" w:firstLineChars="200"/>
        <w:rPr>
          <w:rFonts w:hint="eastAsia" w:ascii="仿宋_GB2312" w:eastAsia="仿宋_GB2312"/>
          <w:sz w:val="32"/>
          <w:szCs w:val="32"/>
        </w:rPr>
      </w:pPr>
      <w:r>
        <w:rPr>
          <w:rFonts w:hint="eastAsia" w:ascii="仿宋_GB2312" w:eastAsia="仿宋_GB2312"/>
          <w:sz w:val="32"/>
          <w:szCs w:val="32"/>
          <w:lang w:eastAsia="zh-CN"/>
        </w:rPr>
        <w:drawing>
          <wp:anchor distT="0" distB="0" distL="114300" distR="114300" simplePos="0" relativeHeight="251658240" behindDoc="0" locked="0" layoutInCell="1" allowOverlap="1">
            <wp:simplePos x="0" y="0"/>
            <wp:positionH relativeFrom="column">
              <wp:posOffset>336550</wp:posOffset>
            </wp:positionH>
            <wp:positionV relativeFrom="paragraph">
              <wp:posOffset>13970</wp:posOffset>
            </wp:positionV>
            <wp:extent cx="4575175" cy="2581910"/>
            <wp:effectExtent l="4445" t="4445" r="11430" b="23495"/>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anchor>
        </w:drawing>
      </w: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rPr>
      </w:pPr>
    </w:p>
    <w:p>
      <w:pPr>
        <w:ind w:firstLine="640" w:firstLineChars="200"/>
        <w:rPr>
          <w:rFonts w:hint="eastAsia" w:ascii="仿宋_GB2312" w:eastAsia="仿宋_GB2312"/>
          <w:sz w:val="32"/>
          <w:szCs w:val="32"/>
          <w:lang w:eastAsia="zh-CN"/>
        </w:rPr>
      </w:pPr>
    </w:p>
    <w:p>
      <w:pPr>
        <w:spacing w:line="240" w:lineRule="auto"/>
        <w:ind w:firstLine="640" w:firstLineChars="200"/>
        <w:jc w:val="both"/>
        <w:rPr>
          <w:rFonts w:hint="eastAsia" w:ascii="仿宋_GB2312" w:hAnsi="仿宋_GB2312" w:eastAsia="仿宋_GB2312" w:cs="仿宋_GB2312"/>
          <w:b/>
          <w:bCs/>
          <w:spacing w:val="-20"/>
          <w:sz w:val="28"/>
          <w:szCs w:val="28"/>
        </w:rPr>
      </w:pPr>
      <w:r>
        <w:rPr>
          <w:rFonts w:hint="eastAsia" w:ascii="仿宋_GB2312" w:hAnsi="仿宋_GB2312" w:eastAsia="仿宋_GB2312" w:cs="仿宋_GB2312"/>
          <w:sz w:val="28"/>
          <w:szCs w:val="28"/>
          <w:lang w:eastAsia="zh-CN"/>
        </w:rPr>
        <w:t>（二）四季度各单位办理情况</w:t>
      </w:r>
    </w:p>
    <w:tbl>
      <w:tblPr>
        <w:tblStyle w:val="5"/>
        <w:tblpPr w:leftFromText="180" w:rightFromText="180" w:vertAnchor="text" w:horzAnchor="page" w:tblpX="1170" w:tblpY="229"/>
        <w:tblOverlap w:val="never"/>
        <w:tblW w:w="1008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3417"/>
        <w:gridCol w:w="1200"/>
        <w:gridCol w:w="1533"/>
        <w:gridCol w:w="1567"/>
        <w:gridCol w:w="15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8" w:hRule="atLeast"/>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序号</w:t>
            </w:r>
          </w:p>
        </w:tc>
        <w:tc>
          <w:tcPr>
            <w:tcW w:w="3417"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单位</w:t>
            </w:r>
            <w:r>
              <w:rPr>
                <w:rFonts w:hint="eastAsia" w:ascii="仿宋_GB2312" w:hAnsi="仿宋_GB2312" w:eastAsia="仿宋_GB2312" w:cs="仿宋_GB2312"/>
                <w:color w:val="000000"/>
                <w:kern w:val="0"/>
                <w:sz w:val="28"/>
                <w:szCs w:val="28"/>
              </w:rPr>
              <w:t>名称</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接收量</w:t>
            </w:r>
          </w:p>
        </w:tc>
        <w:tc>
          <w:tcPr>
            <w:tcW w:w="153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投诉按时初查率</w:t>
            </w:r>
          </w:p>
        </w:tc>
        <w:tc>
          <w:tcPr>
            <w:tcW w:w="1567"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投诉按时办结率</w:t>
            </w:r>
          </w:p>
        </w:tc>
        <w:tc>
          <w:tcPr>
            <w:tcW w:w="15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举报按时核查率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i w:val="0"/>
                <w:iCs w:val="0"/>
                <w:color w:val="000000"/>
                <w:kern w:val="0"/>
                <w:sz w:val="28"/>
                <w:szCs w:val="28"/>
                <w:u w:val="none"/>
                <w:lang w:val="en-US" w:eastAsia="zh-CN" w:bidi="ar"/>
              </w:rPr>
              <w:t>赣州市市监局经开区分局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4339</w:t>
            </w:r>
          </w:p>
        </w:tc>
        <w:tc>
          <w:tcPr>
            <w:tcW w:w="1533"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cBorders>
              <w:tl2br w:val="single" w:color="auto" w:sz="4" w:space="0"/>
            </w:tcBorders>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w:t>
            </w:r>
          </w:p>
        </w:tc>
        <w:tc>
          <w:tcPr>
            <w:tcW w:w="341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i w:val="0"/>
                <w:iCs w:val="0"/>
                <w:color w:val="000000"/>
                <w:kern w:val="0"/>
                <w:sz w:val="28"/>
                <w:szCs w:val="28"/>
                <w:u w:val="none"/>
                <w:lang w:val="en-US" w:eastAsia="zh-CN" w:bidi="ar"/>
              </w:rPr>
              <w:t>于都县市场监督管理局</w:t>
            </w:r>
          </w:p>
        </w:tc>
        <w:tc>
          <w:tcPr>
            <w:tcW w:w="1200" w:type="dxa"/>
            <w:textDirection w:val="lrTb"/>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827</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w:t>
            </w:r>
          </w:p>
        </w:tc>
        <w:tc>
          <w:tcPr>
            <w:tcW w:w="341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i w:val="0"/>
                <w:iCs w:val="0"/>
                <w:color w:val="000000"/>
                <w:kern w:val="0"/>
                <w:sz w:val="28"/>
                <w:szCs w:val="28"/>
                <w:u w:val="none"/>
                <w:lang w:val="en-US" w:eastAsia="zh-CN" w:bidi="ar"/>
              </w:rPr>
              <w:t>安远县市场监督管理局</w:t>
            </w:r>
          </w:p>
        </w:tc>
        <w:tc>
          <w:tcPr>
            <w:tcW w:w="1200" w:type="dxa"/>
            <w:textDirection w:val="lrTb"/>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721</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会昌县</w:t>
            </w:r>
            <w:r>
              <w:rPr>
                <w:rFonts w:hint="eastAsia" w:ascii="仿宋_GB2312" w:hAnsi="仿宋_GB2312" w:eastAsia="仿宋_GB2312" w:cs="仿宋_GB2312"/>
                <w:i w:val="0"/>
                <w:iCs w:val="0"/>
                <w:color w:val="000000"/>
                <w:kern w:val="0"/>
                <w:sz w:val="28"/>
                <w:szCs w:val="28"/>
                <w:u w:val="none"/>
                <w:lang w:val="en-US" w:eastAsia="zh-CN" w:bidi="ar"/>
              </w:rPr>
              <w:t>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605</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9" w:hRule="atLeast"/>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兴国县市场监督管理局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566</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6</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信丰县</w:t>
            </w:r>
            <w:r>
              <w:rPr>
                <w:rFonts w:hint="eastAsia" w:ascii="仿宋_GB2312" w:hAnsi="仿宋_GB2312" w:eastAsia="仿宋_GB2312" w:cs="仿宋_GB2312"/>
                <w:i w:val="0"/>
                <w:iCs w:val="0"/>
                <w:color w:val="000000"/>
                <w:kern w:val="0"/>
                <w:sz w:val="28"/>
                <w:szCs w:val="28"/>
                <w:u w:val="none"/>
                <w:lang w:val="en-US" w:eastAsia="zh-CN" w:bidi="ar"/>
              </w:rPr>
              <w:t>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440</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7</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赣县区</w:t>
            </w:r>
            <w:r>
              <w:rPr>
                <w:rFonts w:hint="eastAsia" w:ascii="仿宋_GB2312" w:hAnsi="仿宋_GB2312" w:eastAsia="仿宋_GB2312" w:cs="仿宋_GB2312"/>
                <w:i w:val="0"/>
                <w:iCs w:val="0"/>
                <w:color w:val="000000"/>
                <w:kern w:val="0"/>
                <w:sz w:val="28"/>
                <w:szCs w:val="28"/>
                <w:u w:val="none"/>
                <w:lang w:val="en-US" w:eastAsia="zh-CN" w:bidi="ar"/>
              </w:rPr>
              <w:t>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332</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cBorders>
              <w:tl2br w:val="single" w:color="auto" w:sz="4" w:space="0"/>
            </w:tcBorders>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w:t>
            </w:r>
          </w:p>
        </w:tc>
        <w:tc>
          <w:tcPr>
            <w:tcW w:w="341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石城县市场监督管理局</w:t>
            </w:r>
          </w:p>
        </w:tc>
        <w:tc>
          <w:tcPr>
            <w:tcW w:w="1200" w:type="dxa"/>
            <w:textDirection w:val="lrTb"/>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261</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9</w:t>
            </w:r>
          </w:p>
        </w:tc>
        <w:tc>
          <w:tcPr>
            <w:tcW w:w="341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i w:val="0"/>
                <w:iCs w:val="0"/>
                <w:color w:val="000000"/>
                <w:kern w:val="0"/>
                <w:sz w:val="28"/>
                <w:szCs w:val="28"/>
                <w:u w:val="none"/>
                <w:lang w:val="en-US" w:eastAsia="zh-CN" w:bidi="ar"/>
              </w:rPr>
              <w:t>龙南市市场监督管理局</w:t>
            </w:r>
          </w:p>
        </w:tc>
        <w:tc>
          <w:tcPr>
            <w:tcW w:w="1200" w:type="dxa"/>
            <w:textDirection w:val="lrTb"/>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242</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rPr>
            </w:pPr>
            <w:r>
              <w:rPr>
                <w:rFonts w:hint="eastAsia" w:ascii="仿宋_GB2312" w:hAnsi="仿宋_GB2312" w:eastAsia="仿宋_GB2312" w:cs="仿宋_GB2312"/>
                <w:i w:val="0"/>
                <w:iCs w:val="0"/>
                <w:color w:val="000000"/>
                <w:kern w:val="0"/>
                <w:sz w:val="28"/>
                <w:szCs w:val="28"/>
                <w:u w:val="none"/>
                <w:lang w:val="en-US" w:eastAsia="zh-CN" w:bidi="ar"/>
              </w:rPr>
              <w:t>蓉江新区市场监督管理局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164</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cBorders>
              <w:tl2br w:val="single" w:color="auto" w:sz="4" w:space="0"/>
            </w:tcBorders>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11</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大余县市场监督管理局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152</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12</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寻乌县市场监督管理局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146</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13</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全南县市场监督管理局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109</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14</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定南县</w:t>
            </w:r>
            <w:r>
              <w:rPr>
                <w:rFonts w:hint="eastAsia" w:ascii="仿宋_GB2312" w:hAnsi="仿宋_GB2312" w:eastAsia="仿宋_GB2312" w:cs="仿宋_GB2312"/>
                <w:i w:val="0"/>
                <w:iCs w:val="0"/>
                <w:color w:val="000000"/>
                <w:kern w:val="0"/>
                <w:sz w:val="28"/>
                <w:szCs w:val="28"/>
                <w:u w:val="none"/>
                <w:lang w:val="en-US" w:eastAsia="zh-CN" w:bidi="ar"/>
              </w:rPr>
              <w:t>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89</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15</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color w:val="000000"/>
                <w:kern w:val="0"/>
                <w:sz w:val="28"/>
                <w:szCs w:val="28"/>
                <w:lang w:eastAsia="zh-CN"/>
              </w:rPr>
              <w:t>崇义县</w:t>
            </w:r>
            <w:r>
              <w:rPr>
                <w:rFonts w:hint="eastAsia" w:ascii="仿宋_GB2312" w:hAnsi="仿宋_GB2312" w:eastAsia="仿宋_GB2312" w:cs="仿宋_GB2312"/>
                <w:i w:val="0"/>
                <w:iCs w:val="0"/>
                <w:color w:val="000000"/>
                <w:kern w:val="0"/>
                <w:sz w:val="28"/>
                <w:szCs w:val="28"/>
                <w:u w:val="none"/>
                <w:lang w:val="en-US" w:eastAsia="zh-CN" w:bidi="ar"/>
              </w:rPr>
              <w:t>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89</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16</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市市场监管执法稽查局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4574</w:t>
            </w:r>
          </w:p>
        </w:tc>
        <w:tc>
          <w:tcPr>
            <w:tcW w:w="1533" w:type="dxa"/>
            <w:tcBorders>
              <w:tl2br w:val="single" w:color="auto" w:sz="4" w:space="0"/>
            </w:tcBorders>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p>
        </w:tc>
        <w:tc>
          <w:tcPr>
            <w:tcW w:w="1567" w:type="dxa"/>
            <w:tcBorders>
              <w:tl2br w:val="single" w:color="auto" w:sz="4" w:space="0"/>
            </w:tcBorders>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99.98%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17</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南康区市场监督管理局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3132</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99.95%</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83" w:type="dxa"/>
            <w:tcBorders>
              <w:tl2br w:val="single" w:color="auto" w:sz="4" w:space="0"/>
            </w:tcBorders>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18</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章贡区</w:t>
            </w:r>
            <w:r>
              <w:rPr>
                <w:rFonts w:hint="eastAsia" w:ascii="仿宋_GB2312" w:hAnsi="仿宋_GB2312" w:eastAsia="仿宋_GB2312" w:cs="仿宋_GB2312"/>
                <w:i w:val="0"/>
                <w:iCs w:val="0"/>
                <w:color w:val="000000"/>
                <w:kern w:val="0"/>
                <w:sz w:val="28"/>
                <w:szCs w:val="28"/>
                <w:u w:val="none"/>
                <w:lang w:val="en-US" w:eastAsia="zh-CN" w:bidi="ar"/>
              </w:rPr>
              <w:t>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2652</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99.96%</w:t>
            </w:r>
          </w:p>
        </w:tc>
        <w:tc>
          <w:tcPr>
            <w:tcW w:w="1583" w:type="dxa"/>
            <w:tcBorders>
              <w:tl2br w:val="single" w:color="auto" w:sz="4" w:space="0"/>
            </w:tcBorders>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19</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2"/>
                <w:sz w:val="28"/>
                <w:szCs w:val="28"/>
                <w:u w:val="none"/>
                <w:lang w:val="en-US" w:eastAsia="zh-CN" w:bidi="ar-SA"/>
              </w:rPr>
              <w:t>瑞金市</w:t>
            </w:r>
            <w:r>
              <w:rPr>
                <w:rFonts w:hint="eastAsia" w:ascii="仿宋_GB2312" w:hAnsi="仿宋_GB2312" w:eastAsia="仿宋_GB2312" w:cs="仿宋_GB2312"/>
                <w:i w:val="0"/>
                <w:iCs w:val="0"/>
                <w:color w:val="000000"/>
                <w:kern w:val="0"/>
                <w:sz w:val="28"/>
                <w:szCs w:val="28"/>
                <w:u w:val="none"/>
                <w:lang w:val="en-US" w:eastAsia="zh-CN" w:bidi="ar"/>
              </w:rPr>
              <w:t>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1017</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99.77%</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20</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宁都县市场监督管理局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329</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99.58%</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83"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21</w:t>
            </w:r>
          </w:p>
        </w:tc>
        <w:tc>
          <w:tcPr>
            <w:tcW w:w="3417" w:type="dxa"/>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i w:val="0"/>
                <w:iCs w:val="0"/>
                <w:color w:val="000000"/>
                <w:kern w:val="2"/>
                <w:sz w:val="28"/>
                <w:szCs w:val="28"/>
                <w:u w:val="none"/>
                <w:lang w:val="en-US" w:eastAsia="zh-CN" w:bidi="ar-SA"/>
              </w:rPr>
            </w:pPr>
            <w:r>
              <w:rPr>
                <w:rFonts w:hint="eastAsia" w:ascii="仿宋_GB2312" w:hAnsi="仿宋_GB2312" w:eastAsia="仿宋_GB2312" w:cs="仿宋_GB2312"/>
                <w:i w:val="0"/>
                <w:iCs w:val="0"/>
                <w:color w:val="000000"/>
                <w:kern w:val="0"/>
                <w:sz w:val="28"/>
                <w:szCs w:val="28"/>
                <w:u w:val="none"/>
                <w:lang w:val="en-US" w:eastAsia="zh-CN" w:bidi="ar"/>
              </w:rPr>
              <w:t>上犹县市场监督管理局</w:t>
            </w:r>
          </w:p>
        </w:tc>
        <w:tc>
          <w:tcPr>
            <w:tcW w:w="1200" w:type="dxa"/>
            <w:vAlign w:val="center"/>
          </w:tcPr>
          <w:p>
            <w:pPr>
              <w:widowControl/>
              <w:spacing w:line="240" w:lineRule="auto"/>
              <w:jc w:val="center"/>
              <w:textAlignment w:val="center"/>
              <w:rPr>
                <w:rFonts w:hint="eastAsia"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val="en-US" w:eastAsia="zh-CN"/>
              </w:rPr>
              <w:t>295</w:t>
            </w:r>
          </w:p>
        </w:tc>
        <w:tc>
          <w:tcPr>
            <w:tcW w:w="153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lang w:eastAsia="zh-CN"/>
              </w:rPr>
            </w:pPr>
            <w:r>
              <w:rPr>
                <w:rFonts w:hint="eastAsia" w:ascii="仿宋_GB2312" w:hAnsi="仿宋_GB2312" w:eastAsia="仿宋_GB2312" w:cs="仿宋_GB2312"/>
                <w:i w:val="0"/>
                <w:iCs w:val="0"/>
                <w:color w:val="000000"/>
                <w:kern w:val="0"/>
                <w:sz w:val="28"/>
                <w:szCs w:val="28"/>
                <w:u w:val="none"/>
                <w:lang w:val="en-US" w:eastAsia="zh-CN" w:bidi="ar"/>
              </w:rPr>
              <w:t>100.00%</w:t>
            </w:r>
          </w:p>
        </w:tc>
        <w:tc>
          <w:tcPr>
            <w:tcW w:w="1567"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99.49%</w:t>
            </w:r>
          </w:p>
        </w:tc>
        <w:tc>
          <w:tcPr>
            <w:tcW w:w="1583" w:type="dxa"/>
            <w:textDirection w:val="lrTb"/>
            <w:vAlign w:val="center"/>
          </w:tcPr>
          <w:p>
            <w:pPr>
              <w:keepNext w:val="0"/>
              <w:keepLines w:val="0"/>
              <w:widowControl/>
              <w:suppressLineNumbers w:val="0"/>
              <w:spacing w:line="240" w:lineRule="auto"/>
              <w:jc w:val="center"/>
              <w:textAlignment w:val="center"/>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i w:val="0"/>
                <w:iCs w:val="0"/>
                <w:color w:val="000000"/>
                <w:kern w:val="0"/>
                <w:sz w:val="28"/>
                <w:szCs w:val="28"/>
                <w:u w:val="none"/>
                <w:lang w:val="en-US" w:eastAsia="zh-CN" w:bidi="ar"/>
              </w:rPr>
              <w:t>100.00%</w:t>
            </w:r>
          </w:p>
        </w:tc>
      </w:tr>
    </w:tbl>
    <w:p>
      <w:pPr>
        <w:spacing w:line="240" w:lineRule="auto"/>
        <w:rPr>
          <w:rFonts w:ascii="仿宋_GB2312" w:eastAsia="仿宋_GB2312"/>
          <w:b/>
          <w:bCs/>
          <w:spacing w:val="-20"/>
          <w:sz w:val="32"/>
          <w:szCs w:val="32"/>
        </w:rPr>
      </w:pPr>
    </w:p>
    <w:p>
      <w:pPr>
        <w:ind w:firstLine="640" w:firstLineChars="200"/>
        <w:rPr>
          <w:rFonts w:ascii="宋体" w:hAnsi="宋体" w:eastAsia="黑体"/>
          <w:sz w:val="32"/>
          <w:szCs w:val="32"/>
        </w:rPr>
      </w:pPr>
      <w:r>
        <w:rPr>
          <w:rFonts w:hint="eastAsia" w:ascii="宋体" w:hAnsi="宋体" w:eastAsia="黑体"/>
          <w:sz w:val="32"/>
          <w:szCs w:val="32"/>
        </w:rPr>
        <w:t>二、咨询件情况分析</w:t>
      </w:r>
    </w:p>
    <w:p>
      <w:pPr>
        <w:numPr>
          <w:ilvl w:val="0"/>
          <w:numId w:val="0"/>
        </w:numPr>
        <w:rPr>
          <w:rFonts w:hint="eastAsia" w:ascii="仿宋_GB2312" w:hAnsi="仿宋_GB2312" w:eastAsia="仿宋_GB2312" w:cs="仿宋_GB2312"/>
          <w:sz w:val="32"/>
          <w:szCs w:val="32"/>
        </w:rPr>
      </w:pPr>
      <w:r>
        <w:rPr>
          <w:rFonts w:hint="eastAsia" w:ascii="仿宋_GB2312" w:hAnsi="仿宋_GB2312" w:eastAsia="仿宋_GB2312" w:cs="仿宋_GB2312"/>
          <w:sz w:val="28"/>
          <w:szCs w:val="28"/>
          <w:lang w:val="en-US" w:eastAsia="zh-CN"/>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季度共受理咨询</w:t>
      </w:r>
      <w:r>
        <w:rPr>
          <w:rFonts w:hint="eastAsia" w:ascii="仿宋_GB2312" w:hAnsi="仿宋_GB2312" w:eastAsia="仿宋_GB2312" w:cs="仿宋_GB2312"/>
          <w:sz w:val="32"/>
          <w:szCs w:val="32"/>
          <w:lang w:val="en-US" w:eastAsia="zh-CN"/>
        </w:rPr>
        <w:t>23802</w:t>
      </w:r>
      <w:r>
        <w:rPr>
          <w:rFonts w:hint="eastAsia" w:ascii="仿宋_GB2312" w:hAnsi="仿宋_GB2312" w:eastAsia="仿宋_GB2312" w:cs="仿宋_GB2312"/>
          <w:sz w:val="32"/>
          <w:szCs w:val="32"/>
        </w:rPr>
        <w:t>件，同比增长</w:t>
      </w:r>
      <w:r>
        <w:rPr>
          <w:rFonts w:hint="eastAsia" w:ascii="仿宋_GB2312" w:hAnsi="仿宋_GB2312" w:eastAsia="仿宋_GB2312" w:cs="仿宋_GB2312"/>
          <w:sz w:val="32"/>
          <w:szCs w:val="32"/>
          <w:lang w:val="en-US" w:eastAsia="zh-CN"/>
        </w:rPr>
        <w:t>16.5</w:t>
      </w:r>
      <w:r>
        <w:rPr>
          <w:rFonts w:hint="eastAsia" w:ascii="仿宋_GB2312" w:hAnsi="仿宋_GB2312" w:eastAsia="仿宋_GB2312" w:cs="仿宋_GB2312"/>
          <w:sz w:val="32"/>
          <w:szCs w:val="32"/>
        </w:rPr>
        <w:t>%，环比增长</w:t>
      </w:r>
      <w:r>
        <w:rPr>
          <w:rFonts w:hint="eastAsia" w:ascii="仿宋_GB2312" w:hAnsi="仿宋_GB2312" w:eastAsia="仿宋_GB2312" w:cs="仿宋_GB2312"/>
          <w:sz w:val="32"/>
          <w:szCs w:val="32"/>
          <w:lang w:val="en-US" w:eastAsia="zh-CN"/>
        </w:rPr>
        <w:t>0.8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主要咨询的问题有：网络交易方面的问题，食品和价格问题以及消</w:t>
      </w:r>
      <w:r>
        <w:rPr>
          <w:rFonts w:hint="eastAsia" w:ascii="宋体" w:hAnsi="宋体" w:eastAsia="仿宋_GB2312"/>
          <w:sz w:val="32"/>
          <w:szCs w:val="32"/>
        </w:rPr>
        <w:t>费维权法律法规</w:t>
      </w:r>
      <w:r>
        <w:rPr>
          <w:rFonts w:hint="eastAsia" w:ascii="宋体" w:hAnsi="宋体" w:eastAsia="仿宋_GB2312"/>
          <w:sz w:val="32"/>
          <w:szCs w:val="32"/>
          <w:lang w:eastAsia="zh-CN"/>
        </w:rPr>
        <w:t>的</w:t>
      </w:r>
      <w:r>
        <w:rPr>
          <w:rFonts w:hint="eastAsia" w:ascii="宋体" w:hAnsi="宋体" w:eastAsia="仿宋_GB2312"/>
          <w:sz w:val="32"/>
          <w:szCs w:val="32"/>
        </w:rPr>
        <w:t>咨询</w:t>
      </w:r>
      <w:r>
        <w:rPr>
          <w:rFonts w:hint="eastAsia" w:ascii="宋体" w:hAnsi="宋体" w:eastAsia="仿宋_GB2312"/>
          <w:sz w:val="32"/>
          <w:szCs w:val="32"/>
          <w:lang w:eastAsia="zh-CN"/>
        </w:rPr>
        <w:t>。</w:t>
      </w:r>
    </w:p>
    <w:p>
      <w:pPr>
        <w:ind w:firstLine="640" w:firstLineChars="200"/>
        <w:rPr>
          <w:rFonts w:ascii="宋体" w:hAnsi="宋体" w:eastAsia="黑体"/>
          <w:sz w:val="32"/>
          <w:szCs w:val="32"/>
        </w:rPr>
      </w:pPr>
      <w:r>
        <w:rPr>
          <w:rFonts w:hint="eastAsia" w:ascii="宋体" w:hAnsi="宋体" w:eastAsia="黑体"/>
          <w:sz w:val="32"/>
          <w:szCs w:val="32"/>
        </w:rPr>
        <w:t xml:space="preserve"> 三、投诉情况分析</w:t>
      </w:r>
      <w:r>
        <w:rPr>
          <w:rFonts w:hint="eastAsia" w:ascii="宋体" w:hAnsi="宋体" w:eastAsia="黑体"/>
          <w:sz w:val="32"/>
          <w:szCs w:val="32"/>
          <w:lang w:eastAsia="zh-CN"/>
        </w:rPr>
        <w:t>及热点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季度共受理</w:t>
      </w:r>
      <w:r>
        <w:rPr>
          <w:rFonts w:hint="eastAsia" w:ascii="仿宋_GB2312" w:hAnsi="仿宋_GB2312" w:eastAsia="仿宋_GB2312" w:cs="仿宋_GB2312"/>
          <w:sz w:val="32"/>
          <w:szCs w:val="32"/>
          <w:lang w:eastAsia="zh-CN"/>
        </w:rPr>
        <w:t>消费者</w:t>
      </w:r>
      <w:r>
        <w:rPr>
          <w:rFonts w:hint="eastAsia" w:ascii="仿宋_GB2312" w:hAnsi="仿宋_GB2312" w:eastAsia="仿宋_GB2312" w:cs="仿宋_GB2312"/>
          <w:sz w:val="32"/>
          <w:szCs w:val="32"/>
        </w:rPr>
        <w:t>投诉</w:t>
      </w:r>
      <w:r>
        <w:rPr>
          <w:rFonts w:hint="eastAsia" w:ascii="仿宋_GB2312" w:hAnsi="仿宋_GB2312" w:eastAsia="仿宋_GB2312" w:cs="仿宋_GB2312"/>
          <w:sz w:val="32"/>
          <w:szCs w:val="32"/>
          <w:lang w:val="en-US" w:eastAsia="zh-CN"/>
        </w:rPr>
        <w:t>15687</w:t>
      </w:r>
      <w:r>
        <w:rPr>
          <w:rFonts w:hint="eastAsia" w:ascii="仿宋_GB2312" w:hAnsi="仿宋_GB2312" w:eastAsia="仿宋_GB2312" w:cs="仿宋_GB2312"/>
          <w:sz w:val="32"/>
          <w:szCs w:val="32"/>
        </w:rPr>
        <w:t>件，与2021年同期相比增长</w:t>
      </w:r>
      <w:r>
        <w:rPr>
          <w:rFonts w:hint="eastAsia" w:ascii="仿宋_GB2312" w:hAnsi="仿宋_GB2312" w:eastAsia="仿宋_GB2312" w:cs="仿宋_GB2312"/>
          <w:sz w:val="32"/>
          <w:szCs w:val="32"/>
          <w:lang w:val="en-US" w:eastAsia="zh-CN"/>
        </w:rPr>
        <w:t>91</w:t>
      </w:r>
      <w:r>
        <w:rPr>
          <w:rFonts w:hint="eastAsia" w:ascii="仿宋_GB2312" w:hAnsi="仿宋_GB2312" w:eastAsia="仿宋_GB2312" w:cs="仿宋_GB2312"/>
          <w:sz w:val="32"/>
          <w:szCs w:val="32"/>
        </w:rPr>
        <w:t>%，环比增长</w:t>
      </w:r>
      <w:r>
        <w:rPr>
          <w:rFonts w:hint="eastAsia" w:ascii="仿宋_GB2312" w:hAnsi="仿宋_GB2312" w:eastAsia="仿宋_GB2312" w:cs="仿宋_GB2312"/>
          <w:sz w:val="32"/>
          <w:szCs w:val="32"/>
          <w:lang w:val="en-US" w:eastAsia="zh-CN"/>
        </w:rPr>
        <w:t>29.8</w:t>
      </w:r>
      <w:r>
        <w:rPr>
          <w:rFonts w:hint="eastAsia" w:ascii="仿宋_GB2312" w:hAnsi="仿宋_GB2312" w:eastAsia="仿宋_GB2312" w:cs="仿宋_GB2312"/>
          <w:sz w:val="32"/>
          <w:szCs w:val="32"/>
        </w:rPr>
        <w:t>%。</w:t>
      </w:r>
    </w:p>
    <w:p>
      <w:pPr>
        <w:numPr>
          <w:ilvl w:val="0"/>
          <w:numId w:val="2"/>
        </w:num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从投诉问题类别来看，反映较多的为：售后服务问题（</w:t>
      </w:r>
      <w:r>
        <w:rPr>
          <w:rFonts w:hint="eastAsia" w:ascii="仿宋_GB2312" w:hAnsi="仿宋_GB2312" w:eastAsia="仿宋_GB2312" w:cs="仿宋_GB2312"/>
          <w:sz w:val="32"/>
          <w:szCs w:val="32"/>
          <w:lang w:val="en-US" w:eastAsia="zh-CN"/>
        </w:rPr>
        <w:t>4196</w:t>
      </w:r>
      <w:r>
        <w:rPr>
          <w:rFonts w:hint="eastAsia" w:ascii="仿宋_GB2312" w:hAnsi="仿宋_GB2312" w:eastAsia="仿宋_GB2312" w:cs="仿宋_GB2312"/>
          <w:sz w:val="32"/>
          <w:szCs w:val="32"/>
        </w:rPr>
        <w:t>件）、质量问题（</w:t>
      </w:r>
      <w:r>
        <w:rPr>
          <w:rFonts w:hint="eastAsia" w:ascii="仿宋_GB2312" w:hAnsi="仿宋_GB2312" w:eastAsia="仿宋_GB2312" w:cs="仿宋_GB2312"/>
          <w:sz w:val="32"/>
          <w:szCs w:val="32"/>
          <w:lang w:val="en-US" w:eastAsia="zh-CN"/>
        </w:rPr>
        <w:t>4158</w:t>
      </w:r>
      <w:r>
        <w:rPr>
          <w:rFonts w:hint="eastAsia" w:ascii="仿宋_GB2312" w:hAnsi="仿宋_GB2312" w:eastAsia="仿宋_GB2312" w:cs="仿宋_GB2312"/>
          <w:sz w:val="32"/>
          <w:szCs w:val="32"/>
        </w:rPr>
        <w:t>件）、合同问题（1</w:t>
      </w:r>
      <w:r>
        <w:rPr>
          <w:rFonts w:hint="eastAsia" w:ascii="仿宋_GB2312" w:hAnsi="仿宋_GB2312" w:eastAsia="仿宋_GB2312" w:cs="仿宋_GB2312"/>
          <w:sz w:val="32"/>
          <w:szCs w:val="32"/>
          <w:lang w:val="en-US" w:eastAsia="zh-CN"/>
        </w:rPr>
        <w:t>881</w:t>
      </w:r>
      <w:r>
        <w:rPr>
          <w:rFonts w:hint="eastAsia" w:ascii="仿宋_GB2312" w:hAnsi="仿宋_GB2312" w:eastAsia="仿宋_GB2312" w:cs="仿宋_GB2312"/>
          <w:sz w:val="32"/>
          <w:szCs w:val="32"/>
        </w:rPr>
        <w:t>件）、食品安全问题（</w:t>
      </w:r>
      <w:r>
        <w:rPr>
          <w:rFonts w:hint="eastAsia" w:ascii="仿宋_GB2312" w:hAnsi="仿宋_GB2312" w:eastAsia="仿宋_GB2312" w:cs="仿宋_GB2312"/>
          <w:sz w:val="32"/>
          <w:szCs w:val="32"/>
          <w:lang w:val="en-US" w:eastAsia="zh-CN"/>
        </w:rPr>
        <w:t>952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不正当竞争</w:t>
      </w:r>
      <w:r>
        <w:rPr>
          <w:rFonts w:hint="eastAsia" w:ascii="仿宋_GB2312" w:hAnsi="仿宋_GB2312" w:eastAsia="仿宋_GB2312" w:cs="仿宋_GB2312"/>
          <w:sz w:val="32"/>
          <w:szCs w:val="32"/>
        </w:rPr>
        <w:t>问题（</w:t>
      </w:r>
      <w:r>
        <w:rPr>
          <w:rFonts w:hint="eastAsia" w:ascii="仿宋_GB2312" w:hAnsi="仿宋_GB2312" w:eastAsia="仿宋_GB2312" w:cs="仿宋_GB2312"/>
          <w:sz w:val="32"/>
          <w:szCs w:val="32"/>
          <w:lang w:val="en-US" w:eastAsia="zh-CN"/>
        </w:rPr>
        <w:t>808</w:t>
      </w:r>
      <w:r>
        <w:rPr>
          <w:rFonts w:hint="eastAsia" w:ascii="仿宋_GB2312" w:hAnsi="仿宋_GB2312" w:eastAsia="仿宋_GB2312" w:cs="仿宋_GB2312"/>
          <w:sz w:val="32"/>
          <w:szCs w:val="32"/>
        </w:rPr>
        <w:t>件）。</w:t>
      </w:r>
    </w:p>
    <w:p>
      <w:pPr>
        <w:widowControl w:val="0"/>
        <w:numPr>
          <w:numId w:val="0"/>
        </w:numPr>
        <w:jc w:val="both"/>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367665</wp:posOffset>
            </wp:positionH>
            <wp:positionV relativeFrom="paragraph">
              <wp:posOffset>79375</wp:posOffset>
            </wp:positionV>
            <wp:extent cx="4365625" cy="2324735"/>
            <wp:effectExtent l="4445" t="4445" r="11430" b="13970"/>
            <wp:wrapNone/>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pPr>
        <w:widowControl w:val="0"/>
        <w:numPr>
          <w:numId w:val="0"/>
        </w:numPr>
        <w:jc w:val="both"/>
        <w:rPr>
          <w:rFonts w:hint="eastAsia" w:ascii="仿宋_GB2312" w:hAnsi="仿宋_GB2312" w:eastAsia="仿宋_GB2312" w:cs="仿宋_GB2312"/>
          <w:sz w:val="32"/>
          <w:szCs w:val="32"/>
        </w:rPr>
      </w:pPr>
    </w:p>
    <w:p>
      <w:pPr>
        <w:widowControl w:val="0"/>
        <w:numPr>
          <w:numId w:val="0"/>
        </w:numPr>
        <w:jc w:val="both"/>
        <w:rPr>
          <w:rFonts w:hint="eastAsia" w:ascii="仿宋_GB2312" w:hAnsi="仿宋_GB2312" w:eastAsia="仿宋_GB2312" w:cs="仿宋_GB2312"/>
          <w:sz w:val="32"/>
          <w:szCs w:val="32"/>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widowControl w:val="0"/>
        <w:numPr>
          <w:ilvl w:val="0"/>
          <w:numId w:val="0"/>
        </w:numPr>
        <w:jc w:val="both"/>
        <w:rPr>
          <w:rFonts w:hint="eastAsia" w:ascii="仿宋_GB2312" w:hAnsi="仿宋_GB2312" w:eastAsia="仿宋_GB2312" w:cs="仿宋_GB2312"/>
          <w:sz w:val="32"/>
          <w:szCs w:val="32"/>
          <w:lang w:eastAsia="zh-CN"/>
        </w:rPr>
      </w:pPr>
    </w:p>
    <w:p>
      <w:pPr>
        <w:numPr>
          <w:ilvl w:val="0"/>
          <w:numId w:val="2"/>
        </w:num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从投诉客体类别来看：</w:t>
      </w:r>
    </w:p>
    <w:p>
      <w:pPr>
        <w:pStyle w:val="2"/>
        <w:keepNext w:val="0"/>
        <w:keepLines w:val="0"/>
        <w:widowControl/>
        <w:suppressLineNumbers w:val="0"/>
        <w:pBdr>
          <w:left w:val="none" w:color="auto" w:sz="0" w:space="0"/>
        </w:pBdr>
        <w:wordWrap w:val="0"/>
        <w:spacing w:before="0" w:beforeAutospacing="0" w:after="0" w:afterAutospacing="0"/>
        <w:ind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（1）</w:t>
      </w:r>
      <w:r>
        <w:rPr>
          <w:rFonts w:hint="eastAsia" w:ascii="仿宋_GB2312" w:hAnsi="仿宋_GB2312" w:eastAsia="仿宋_GB2312" w:cs="仿宋_GB2312"/>
          <w:sz w:val="32"/>
          <w:szCs w:val="32"/>
        </w:rPr>
        <w:t>涉及商品类投诉</w:t>
      </w:r>
      <w:r>
        <w:rPr>
          <w:rFonts w:hint="eastAsia" w:ascii="仿宋_GB2312" w:hAnsi="仿宋_GB2312" w:eastAsia="仿宋_GB2312" w:cs="仿宋_GB2312"/>
          <w:sz w:val="32"/>
          <w:szCs w:val="32"/>
          <w:lang w:val="en-US" w:eastAsia="zh-CN"/>
        </w:rPr>
        <w:t>9270</w:t>
      </w:r>
      <w:r>
        <w:rPr>
          <w:rFonts w:hint="eastAsia" w:ascii="仿宋_GB2312" w:hAnsi="仿宋_GB2312" w:eastAsia="仿宋_GB2312" w:cs="仿宋_GB2312"/>
          <w:sz w:val="32"/>
          <w:szCs w:val="32"/>
        </w:rPr>
        <w:t>件，占投诉总量的</w:t>
      </w:r>
      <w:r>
        <w:rPr>
          <w:rFonts w:hint="eastAsia" w:ascii="仿宋_GB2312" w:hAnsi="仿宋_GB2312" w:eastAsia="仿宋_GB2312" w:cs="仿宋_GB2312"/>
          <w:sz w:val="32"/>
          <w:szCs w:val="32"/>
          <w:lang w:val="en-US" w:eastAsia="zh-CN"/>
        </w:rPr>
        <w:t>59</w:t>
      </w:r>
      <w:r>
        <w:rPr>
          <w:rFonts w:hint="eastAsia" w:ascii="仿宋_GB2312" w:hAnsi="仿宋_GB2312" w:eastAsia="仿宋_GB2312" w:cs="仿宋_GB2312"/>
          <w:sz w:val="32"/>
          <w:szCs w:val="32"/>
        </w:rPr>
        <w:t>%，主要集中在：家居用品（</w:t>
      </w:r>
      <w:r>
        <w:rPr>
          <w:rFonts w:hint="eastAsia" w:ascii="仿宋_GB2312" w:hAnsi="仿宋_GB2312" w:eastAsia="仿宋_GB2312" w:cs="仿宋_GB2312"/>
          <w:sz w:val="32"/>
          <w:szCs w:val="32"/>
          <w:lang w:val="en-US" w:eastAsia="zh-CN"/>
        </w:rPr>
        <w:t>4046</w:t>
      </w:r>
      <w:r>
        <w:rPr>
          <w:rFonts w:hint="eastAsia" w:ascii="仿宋_GB2312" w:hAnsi="仿宋_GB2312" w:eastAsia="仿宋_GB2312" w:cs="仿宋_GB2312"/>
          <w:sz w:val="32"/>
          <w:szCs w:val="32"/>
        </w:rPr>
        <w:t>件）、食品（</w:t>
      </w:r>
      <w:r>
        <w:rPr>
          <w:rFonts w:hint="eastAsia" w:ascii="仿宋_GB2312" w:hAnsi="仿宋_GB2312" w:eastAsia="仿宋_GB2312" w:cs="仿宋_GB2312"/>
          <w:sz w:val="32"/>
          <w:szCs w:val="32"/>
          <w:lang w:val="en-US" w:eastAsia="zh-CN"/>
        </w:rPr>
        <w:t>2004</w:t>
      </w:r>
      <w:r>
        <w:rPr>
          <w:rFonts w:hint="eastAsia" w:ascii="仿宋_GB2312" w:hAnsi="仿宋_GB2312" w:eastAsia="仿宋_GB2312" w:cs="仿宋_GB2312"/>
          <w:sz w:val="32"/>
          <w:szCs w:val="32"/>
        </w:rPr>
        <w:t>件）、药品（</w:t>
      </w:r>
      <w:r>
        <w:rPr>
          <w:rFonts w:hint="eastAsia" w:ascii="仿宋_GB2312" w:hAnsi="仿宋_GB2312" w:eastAsia="仿宋_GB2312" w:cs="仿宋_GB2312"/>
          <w:sz w:val="32"/>
          <w:szCs w:val="32"/>
          <w:lang w:val="en-US" w:eastAsia="zh-CN"/>
        </w:rPr>
        <w:t>429</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服装鞋帽（</w:t>
      </w:r>
      <w:r>
        <w:rPr>
          <w:rFonts w:hint="eastAsia" w:ascii="仿宋_GB2312" w:hAnsi="仿宋_GB2312" w:eastAsia="仿宋_GB2312" w:cs="仿宋_GB2312"/>
          <w:sz w:val="32"/>
          <w:szCs w:val="32"/>
          <w:lang w:val="en-US" w:eastAsia="zh-CN"/>
        </w:rPr>
        <w:t>392</w:t>
      </w:r>
      <w:r>
        <w:rPr>
          <w:rFonts w:hint="eastAsia" w:ascii="仿宋_GB2312" w:hAnsi="仿宋_GB2312" w:eastAsia="仿宋_GB2312" w:cs="仿宋_GB2312"/>
          <w:sz w:val="32"/>
          <w:szCs w:val="32"/>
        </w:rPr>
        <w:t>件）、交通工具（</w:t>
      </w: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件）等商品。</w:t>
      </w:r>
      <w:r>
        <w:rPr>
          <w:rFonts w:hint="eastAsia" w:ascii="仿宋_GB2312" w:hAnsi="仿宋_GB2312" w:eastAsia="仿宋_GB2312" w:cs="仿宋_GB2312"/>
          <w:sz w:val="32"/>
          <w:szCs w:val="32"/>
          <w:lang w:eastAsia="zh-CN"/>
        </w:rPr>
        <w:t>反映的问题为：</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购买到存在破损、掉漆、异响、异味等质量问题的家居产品；</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.购买的食品有异物或存在发霉变质情况；</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eastAsia="zh-CN"/>
        </w:rPr>
        <w:t>商家存在虚假宣传、低标高结、不予提供商品等现象；</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服装鞋帽质量与商家宣传的不符或出现质量问题后商家不履行售后服务义务；</w:t>
      </w:r>
      <w:r>
        <w:rPr>
          <w:rFonts w:hint="eastAsia" w:ascii="仿宋_GB2312" w:hAnsi="仿宋_GB2312" w:eastAsia="仿宋_GB2312" w:cs="仿宋_GB2312"/>
          <w:sz w:val="32"/>
          <w:szCs w:val="32"/>
          <w:lang w:val="en-US" w:eastAsia="zh-CN"/>
        </w:rPr>
        <w:t>5.交通工具中发现商品存在质量问题或者交通工具出现问题商家不履行售后承诺。</w:t>
      </w:r>
    </w:p>
    <w:p>
      <w:pPr>
        <w:pStyle w:val="2"/>
        <w:keepNext w:val="0"/>
        <w:keepLines w:val="0"/>
        <w:widowControl/>
        <w:suppressLineNumbers w:val="0"/>
        <w:pBdr>
          <w:left w:val="none" w:color="auto" w:sz="0" w:space="0"/>
        </w:pBdr>
        <w:wordWrap w:val="0"/>
        <w:spacing w:before="0" w:beforeAutospacing="0" w:after="0" w:afterAutospacing="0"/>
        <w:ind w:right="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28"/>
          <w:szCs w:val="28"/>
          <w:lang w:eastAsia="zh-CN"/>
        </w:rPr>
        <w:drawing>
          <wp:anchor distT="0" distB="0" distL="114300" distR="114300" simplePos="0" relativeHeight="251660288" behindDoc="0" locked="0" layoutInCell="1" allowOverlap="1">
            <wp:simplePos x="0" y="0"/>
            <wp:positionH relativeFrom="column">
              <wp:posOffset>454660</wp:posOffset>
            </wp:positionH>
            <wp:positionV relativeFrom="paragraph">
              <wp:posOffset>207010</wp:posOffset>
            </wp:positionV>
            <wp:extent cx="4423410" cy="3058795"/>
            <wp:effectExtent l="4445" t="5080" r="10795" b="22225"/>
            <wp:wrapNone/>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
        <w:keepNext w:val="0"/>
        <w:keepLines w:val="0"/>
        <w:widowControl/>
        <w:suppressLineNumbers w:val="0"/>
        <w:pBdr>
          <w:left w:val="none" w:color="auto" w:sz="0" w:space="0"/>
        </w:pBdr>
        <w:wordWrap w:val="0"/>
        <w:spacing w:before="0" w:beforeAutospacing="0" w:after="0" w:afterAutospacing="0"/>
        <w:ind w:right="0"/>
        <w:rPr>
          <w:rFonts w:hint="eastAsia" w:ascii="仿宋_GB2312" w:hAnsi="仿宋_GB2312" w:eastAsia="仿宋_GB2312" w:cs="仿宋_GB2312"/>
          <w:sz w:val="32"/>
          <w:szCs w:val="32"/>
          <w:lang w:val="en-US" w:eastAsia="zh-CN"/>
        </w:rPr>
      </w:pPr>
    </w:p>
    <w:p>
      <w:pPr>
        <w:pStyle w:val="2"/>
        <w:keepNext w:val="0"/>
        <w:keepLines w:val="0"/>
        <w:widowControl/>
        <w:suppressLineNumbers w:val="0"/>
        <w:pBdr>
          <w:left w:val="none" w:color="auto" w:sz="0" w:space="0"/>
        </w:pBdr>
        <w:wordWrap w:val="0"/>
        <w:spacing w:before="0" w:beforeAutospacing="0" w:after="0" w:afterAutospacing="0"/>
        <w:ind w:right="0"/>
        <w:rPr>
          <w:rFonts w:hint="eastAsia" w:ascii="仿宋_GB2312" w:hAnsi="仿宋_GB2312" w:eastAsia="仿宋_GB2312" w:cs="仿宋_GB2312"/>
          <w:sz w:val="32"/>
          <w:szCs w:val="32"/>
          <w:lang w:val="en-US" w:eastAsia="zh-CN"/>
        </w:rPr>
      </w:pPr>
    </w:p>
    <w:p>
      <w:pPr>
        <w:pStyle w:val="2"/>
        <w:keepNext w:val="0"/>
        <w:keepLines w:val="0"/>
        <w:widowControl/>
        <w:suppressLineNumbers w:val="0"/>
        <w:pBdr>
          <w:left w:val="none" w:color="auto" w:sz="0" w:space="0"/>
        </w:pBdr>
        <w:wordWrap w:val="0"/>
        <w:spacing w:before="0" w:beforeAutospacing="0" w:after="0" w:afterAutospacing="0"/>
        <w:ind w:right="0"/>
        <w:rPr>
          <w:rFonts w:hint="eastAsia" w:ascii="仿宋_GB2312" w:hAnsi="仿宋_GB2312" w:eastAsia="仿宋_GB2312" w:cs="仿宋_GB2312"/>
          <w:sz w:val="32"/>
          <w:szCs w:val="32"/>
          <w:lang w:val="en-US" w:eastAsia="zh-CN"/>
        </w:rPr>
      </w:pPr>
    </w:p>
    <w:p>
      <w:pPr>
        <w:pStyle w:val="2"/>
        <w:keepNext w:val="0"/>
        <w:keepLines w:val="0"/>
        <w:widowControl/>
        <w:suppressLineNumbers w:val="0"/>
        <w:pBdr>
          <w:left w:val="none" w:color="auto" w:sz="0" w:space="0"/>
        </w:pBdr>
        <w:wordWrap w:val="0"/>
        <w:spacing w:before="0" w:beforeAutospacing="0" w:after="0" w:afterAutospacing="0"/>
        <w:ind w:right="0"/>
        <w:rPr>
          <w:rFonts w:hint="eastAsia" w:ascii="仿宋_GB2312" w:hAnsi="仿宋_GB2312" w:eastAsia="仿宋_GB2312" w:cs="仿宋_GB2312"/>
          <w:sz w:val="32"/>
          <w:szCs w:val="32"/>
          <w:lang w:val="en-US" w:eastAsia="zh-CN"/>
        </w:rPr>
      </w:pPr>
    </w:p>
    <w:p>
      <w:pPr>
        <w:pStyle w:val="2"/>
        <w:keepNext w:val="0"/>
        <w:keepLines w:val="0"/>
        <w:widowControl/>
        <w:suppressLineNumbers w:val="0"/>
        <w:pBdr>
          <w:left w:val="none" w:color="auto" w:sz="0" w:space="0"/>
        </w:pBdr>
        <w:wordWrap w:val="0"/>
        <w:spacing w:before="0" w:beforeAutospacing="0" w:after="0" w:afterAutospacing="0"/>
        <w:ind w:right="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28"/>
          <w:szCs w:val="28"/>
          <w:lang w:eastAsia="zh-CN"/>
        </w:rPr>
      </w:pPr>
    </w:p>
    <w:p>
      <w:pPr>
        <w:numPr>
          <w:ilvl w:val="0"/>
          <w:numId w:val="0"/>
        </w:numPr>
        <w:rPr>
          <w:rFonts w:hint="eastAsia" w:ascii="仿宋_GB2312" w:hAnsi="仿宋_GB2312" w:eastAsia="仿宋_GB2312" w:cs="仿宋_GB2312"/>
          <w:sz w:val="28"/>
          <w:szCs w:val="28"/>
          <w:lang w:eastAsia="zh-CN"/>
        </w:rPr>
      </w:pPr>
    </w:p>
    <w:p>
      <w:pPr>
        <w:numPr>
          <w:ilvl w:val="0"/>
          <w:numId w:val="0"/>
        </w:numPr>
        <w:rPr>
          <w:rFonts w:hint="eastAsia" w:ascii="仿宋_GB2312" w:hAnsi="仿宋_GB2312" w:eastAsia="仿宋_GB2312" w:cs="仿宋_GB2312"/>
          <w:sz w:val="28"/>
          <w:szCs w:val="28"/>
          <w:lang w:eastAsia="zh-CN"/>
        </w:rPr>
      </w:pPr>
    </w:p>
    <w:p>
      <w:pPr>
        <w:pStyle w:val="2"/>
        <w:widowControl/>
        <w:wordWrap w:val="0"/>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涉及服务类投诉</w:t>
      </w:r>
      <w:r>
        <w:rPr>
          <w:rFonts w:hint="eastAsia" w:ascii="仿宋_GB2312" w:hAnsi="仿宋_GB2312" w:eastAsia="仿宋_GB2312" w:cs="仿宋_GB2312"/>
          <w:sz w:val="32"/>
          <w:szCs w:val="32"/>
          <w:lang w:val="en-US" w:eastAsia="zh-CN"/>
        </w:rPr>
        <w:t>6417</w:t>
      </w:r>
      <w:r>
        <w:rPr>
          <w:rFonts w:hint="eastAsia" w:ascii="仿宋_GB2312" w:hAnsi="仿宋_GB2312" w:eastAsia="仿宋_GB2312" w:cs="仿宋_GB2312"/>
          <w:sz w:val="32"/>
          <w:szCs w:val="32"/>
        </w:rPr>
        <w:t>件，占投诉总量的</w:t>
      </w:r>
      <w:r>
        <w:rPr>
          <w:rFonts w:hint="eastAsia" w:ascii="仿宋_GB2312" w:hAnsi="仿宋_GB2312" w:eastAsia="仿宋_GB2312" w:cs="仿宋_GB2312"/>
          <w:sz w:val="32"/>
          <w:szCs w:val="32"/>
          <w:lang w:val="en-US" w:eastAsia="zh-CN"/>
        </w:rPr>
        <w:t>41</w:t>
      </w:r>
      <w:r>
        <w:rPr>
          <w:rFonts w:hint="eastAsia" w:ascii="仿宋_GB2312" w:hAnsi="仿宋_GB2312" w:eastAsia="仿宋_GB2312" w:cs="仿宋_GB2312"/>
          <w:sz w:val="32"/>
          <w:szCs w:val="32"/>
        </w:rPr>
        <w:t>%，主要集中在：教育培训服务（</w:t>
      </w:r>
      <w:r>
        <w:rPr>
          <w:rFonts w:hint="eastAsia" w:ascii="仿宋_GB2312" w:hAnsi="仿宋_GB2312" w:eastAsia="仿宋_GB2312" w:cs="仿宋_GB2312"/>
          <w:sz w:val="32"/>
          <w:szCs w:val="32"/>
          <w:lang w:val="en-US" w:eastAsia="zh-CN"/>
        </w:rPr>
        <w:t>2522</w:t>
      </w:r>
      <w:r>
        <w:rPr>
          <w:rFonts w:hint="eastAsia" w:ascii="仿宋_GB2312" w:hAnsi="仿宋_GB2312" w:eastAsia="仿宋_GB2312" w:cs="仿宋_GB2312"/>
          <w:sz w:val="32"/>
          <w:szCs w:val="32"/>
        </w:rPr>
        <w:t>件）、餐饮和住宿服务（6</w:t>
      </w:r>
      <w:r>
        <w:rPr>
          <w:rFonts w:hint="eastAsia" w:ascii="仿宋_GB2312" w:hAnsi="仿宋_GB2312" w:eastAsia="仿宋_GB2312" w:cs="仿宋_GB2312"/>
          <w:sz w:val="32"/>
          <w:szCs w:val="32"/>
          <w:lang w:val="en-US" w:eastAsia="zh-CN"/>
        </w:rPr>
        <w:t>53</w:t>
      </w:r>
      <w:r>
        <w:rPr>
          <w:rFonts w:hint="eastAsia" w:ascii="仿宋_GB2312" w:hAnsi="仿宋_GB2312" w:eastAsia="仿宋_GB2312" w:cs="仿宋_GB2312"/>
          <w:sz w:val="32"/>
          <w:szCs w:val="32"/>
        </w:rPr>
        <w:t>件）、互联网服务（</w:t>
      </w:r>
      <w:r>
        <w:rPr>
          <w:rFonts w:hint="eastAsia" w:ascii="仿宋_GB2312" w:hAnsi="仿宋_GB2312" w:eastAsia="仿宋_GB2312" w:cs="仿宋_GB2312"/>
          <w:sz w:val="32"/>
          <w:szCs w:val="32"/>
          <w:lang w:val="en-US" w:eastAsia="zh-CN"/>
        </w:rPr>
        <w:t>622</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销售</w:t>
      </w:r>
      <w:r>
        <w:rPr>
          <w:rFonts w:hint="eastAsia" w:ascii="仿宋_GB2312" w:hAnsi="仿宋_GB2312" w:eastAsia="仿宋_GB2312" w:cs="仿宋_GB2312"/>
          <w:sz w:val="32"/>
          <w:szCs w:val="32"/>
        </w:rPr>
        <w:t>服务（</w:t>
      </w:r>
      <w:r>
        <w:rPr>
          <w:rFonts w:hint="eastAsia" w:ascii="仿宋_GB2312" w:hAnsi="仿宋_GB2312" w:eastAsia="仿宋_GB2312" w:cs="仿宋_GB2312"/>
          <w:sz w:val="32"/>
          <w:szCs w:val="32"/>
          <w:lang w:val="en-US" w:eastAsia="zh-CN"/>
        </w:rPr>
        <w:t>611</w:t>
      </w:r>
      <w:r>
        <w:rPr>
          <w:rFonts w:hint="eastAsia" w:ascii="仿宋_GB2312" w:hAnsi="仿宋_GB2312" w:eastAsia="仿宋_GB2312" w:cs="仿宋_GB2312"/>
          <w:sz w:val="32"/>
          <w:szCs w:val="32"/>
        </w:rPr>
        <w:t>件）、美容美发洗浴服务（</w:t>
      </w:r>
      <w:r>
        <w:rPr>
          <w:rFonts w:hint="eastAsia" w:ascii="仿宋_GB2312" w:hAnsi="仿宋_GB2312" w:eastAsia="仿宋_GB2312" w:cs="仿宋_GB2312"/>
          <w:sz w:val="32"/>
          <w:szCs w:val="32"/>
          <w:lang w:val="en-US" w:eastAsia="zh-CN"/>
        </w:rPr>
        <w:t>249</w:t>
      </w:r>
      <w:r>
        <w:rPr>
          <w:rFonts w:hint="eastAsia" w:ascii="仿宋_GB2312" w:hAnsi="仿宋_GB2312" w:eastAsia="仿宋_GB2312" w:cs="仿宋_GB2312"/>
          <w:sz w:val="32"/>
          <w:szCs w:val="32"/>
        </w:rPr>
        <w:t>件）等行业。</w:t>
      </w:r>
      <w:r>
        <w:rPr>
          <w:rFonts w:hint="eastAsia" w:ascii="仿宋_GB2312" w:hAnsi="仿宋_GB2312" w:eastAsia="仿宋_GB2312" w:cs="仿宋_GB2312"/>
          <w:sz w:val="32"/>
          <w:szCs w:val="32"/>
          <w:lang w:eastAsia="zh-CN"/>
        </w:rPr>
        <w:t>反映的问题主要有：</w:t>
      </w:r>
      <w:r>
        <w:rPr>
          <w:rFonts w:hint="eastAsia" w:ascii="仿宋_GB2312" w:hAnsi="仿宋_GB2312" w:eastAsia="仿宋_GB2312" w:cs="仿宋_GB2312"/>
          <w:sz w:val="32"/>
          <w:szCs w:val="32"/>
          <w:lang w:val="en-US" w:eastAsia="zh-CN"/>
        </w:rPr>
        <w:t>1、商家在售卖网络教育培训课程时，</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lang w:eastAsia="zh-CN"/>
        </w:rPr>
        <w:t>培训成果</w:t>
      </w:r>
      <w:r>
        <w:rPr>
          <w:rFonts w:hint="eastAsia" w:ascii="仿宋_GB2312" w:hAnsi="仿宋_GB2312" w:eastAsia="仿宋_GB2312" w:cs="仿宋_GB2312"/>
          <w:sz w:val="32"/>
          <w:szCs w:val="32"/>
        </w:rPr>
        <w:t>作出保证性承诺，夸大</w:t>
      </w:r>
      <w:r>
        <w:rPr>
          <w:rFonts w:hint="eastAsia" w:ascii="仿宋_GB2312" w:hAnsi="仿宋_GB2312" w:eastAsia="仿宋_GB2312" w:cs="仿宋_GB2312"/>
          <w:sz w:val="32"/>
          <w:szCs w:val="32"/>
          <w:lang w:eastAsia="zh-CN"/>
        </w:rPr>
        <w:t>宣传</w:t>
      </w:r>
      <w:r>
        <w:rPr>
          <w:rFonts w:hint="eastAsia" w:ascii="仿宋_GB2312" w:hAnsi="仿宋_GB2312" w:eastAsia="仿宋_GB2312" w:cs="仿宋_GB2312"/>
          <w:sz w:val="32"/>
          <w:szCs w:val="32"/>
        </w:rPr>
        <w:t>培训师资力量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实际培训模式与宣传不符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设置格式合同条款限制消费</w:t>
      </w:r>
      <w:r>
        <w:rPr>
          <w:rFonts w:hint="eastAsia" w:ascii="仿宋_GB2312" w:hAnsi="仿宋_GB2312" w:eastAsia="仿宋_GB2312" w:cs="仿宋_GB2312"/>
          <w:sz w:val="32"/>
          <w:szCs w:val="32"/>
          <w:lang w:eastAsia="zh-CN"/>
        </w:rPr>
        <w:t>者</w:t>
      </w:r>
      <w:r>
        <w:rPr>
          <w:rFonts w:hint="eastAsia" w:ascii="仿宋_GB2312" w:hAnsi="仿宋_GB2312" w:eastAsia="仿宋_GB2312" w:cs="仿宋_GB2312"/>
          <w:sz w:val="32"/>
          <w:szCs w:val="32"/>
        </w:rPr>
        <w:t>退款等。</w:t>
      </w:r>
      <w:r>
        <w:rPr>
          <w:rFonts w:hint="eastAsia" w:ascii="仿宋_GB2312" w:hAnsi="仿宋_GB2312" w:eastAsia="仿宋_GB2312" w:cs="仿宋_GB2312"/>
          <w:sz w:val="32"/>
          <w:szCs w:val="32"/>
          <w:lang w:val="en-US" w:eastAsia="zh-CN"/>
        </w:rPr>
        <w:t>2、餐饮店存在食品卫生方面的问题；3、在网络平台购买</w:t>
      </w:r>
      <w:r>
        <w:rPr>
          <w:rFonts w:hint="eastAsia" w:ascii="仿宋_GB2312" w:hAnsi="仿宋_GB2312" w:eastAsia="仿宋_GB2312" w:cs="仿宋_GB2312"/>
          <w:sz w:val="32"/>
          <w:szCs w:val="32"/>
        </w:rPr>
        <w:t>预付卡、团购券后</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商家不履行服务承诺的行为</w:t>
      </w:r>
      <w:r>
        <w:rPr>
          <w:rFonts w:hint="eastAsia" w:ascii="仿宋_GB2312" w:hAnsi="仿宋_GB2312" w:eastAsia="仿宋_GB2312" w:cs="仿宋_GB2312"/>
          <w:sz w:val="32"/>
          <w:szCs w:val="32"/>
          <w:lang w:eastAsia="zh-CN"/>
        </w:rPr>
        <w:t>。</w:t>
      </w:r>
    </w:p>
    <w:p>
      <w:pPr>
        <w:numPr>
          <w:ilvl w:val="0"/>
          <w:numId w:val="0"/>
        </w:numPr>
        <w:spacing w:line="520" w:lineRule="exact"/>
        <w:rPr>
          <w:rFonts w:ascii="宋体" w:hAnsi="宋体" w:eastAsia="仿宋_GB2312"/>
          <w:sz w:val="32"/>
          <w:szCs w:val="32"/>
        </w:rPr>
      </w:pPr>
      <w:r>
        <w:rPr>
          <w:rFonts w:hint="eastAsia" w:ascii="仿宋_GB2312" w:hAnsi="仿宋_GB2312" w:eastAsia="仿宋_GB2312" w:cs="仿宋_GB2312"/>
          <w:sz w:val="32"/>
          <w:szCs w:val="32"/>
          <w:lang w:eastAsia="zh-CN"/>
        </w:rPr>
        <w:drawing>
          <wp:anchor distT="0" distB="0" distL="114300" distR="114300" simplePos="0" relativeHeight="251661312" behindDoc="1" locked="0" layoutInCell="1" allowOverlap="1">
            <wp:simplePos x="0" y="0"/>
            <wp:positionH relativeFrom="column">
              <wp:posOffset>396240</wp:posOffset>
            </wp:positionH>
            <wp:positionV relativeFrom="paragraph">
              <wp:posOffset>198120</wp:posOffset>
            </wp:positionV>
            <wp:extent cx="4605020" cy="2543175"/>
            <wp:effectExtent l="4445" t="4445" r="19685" b="5080"/>
            <wp:wrapThrough wrapText="bothSides">
              <wp:wrapPolygon>
                <wp:start x="-21" y="-38"/>
                <wp:lineTo x="-21" y="21481"/>
                <wp:lineTo x="21514" y="21481"/>
                <wp:lineTo x="21514" y="-38"/>
                <wp:lineTo x="-21" y="-38"/>
              </wp:wrapPolygon>
            </wp:wrapThrough>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numPr>
          <w:ilvl w:val="0"/>
          <w:numId w:val="0"/>
        </w:numPr>
        <w:spacing w:line="520" w:lineRule="exact"/>
        <w:rPr>
          <w:rFonts w:ascii="宋体" w:hAnsi="宋体" w:eastAsia="仿宋_GB2312"/>
          <w:sz w:val="32"/>
          <w:szCs w:val="32"/>
        </w:rPr>
      </w:pPr>
    </w:p>
    <w:p>
      <w:pPr>
        <w:numPr>
          <w:ilvl w:val="0"/>
          <w:numId w:val="0"/>
        </w:numPr>
        <w:spacing w:line="520" w:lineRule="exact"/>
        <w:rPr>
          <w:rFonts w:ascii="宋体" w:hAnsi="宋体" w:eastAsia="仿宋_GB2312"/>
          <w:sz w:val="32"/>
          <w:szCs w:val="32"/>
        </w:rPr>
      </w:pPr>
    </w:p>
    <w:p>
      <w:pPr>
        <w:jc w:val="left"/>
        <w:rPr>
          <w:rFonts w:hint="eastAsia" w:ascii="宋体" w:hAnsi="宋体" w:eastAsia="仿宋_GB2312"/>
          <w:sz w:val="32"/>
          <w:szCs w:val="32"/>
          <w:lang w:val="en-US" w:eastAsia="zh-CN"/>
        </w:rPr>
      </w:pPr>
      <w:r>
        <w:rPr>
          <w:rFonts w:hint="eastAsia" w:ascii="宋体" w:hAnsi="宋体" w:eastAsia="仿宋_GB2312"/>
          <w:sz w:val="32"/>
          <w:szCs w:val="32"/>
          <w:lang w:val="en-US" w:eastAsia="zh-CN"/>
        </w:rPr>
        <w:t xml:space="preserve">  </w:t>
      </w:r>
    </w:p>
    <w:p>
      <w:pPr>
        <w:jc w:val="left"/>
        <w:rPr>
          <w:rFonts w:hint="eastAsia" w:ascii="宋体" w:hAnsi="宋体" w:eastAsia="仿宋_GB2312"/>
          <w:sz w:val="32"/>
          <w:szCs w:val="32"/>
          <w:lang w:val="en-US" w:eastAsia="zh-CN"/>
        </w:rPr>
      </w:pPr>
      <w:r>
        <w:rPr>
          <w:rFonts w:hint="eastAsia" w:ascii="宋体" w:hAnsi="宋体" w:eastAsia="仿宋_GB2312"/>
          <w:sz w:val="32"/>
          <w:szCs w:val="32"/>
          <w:lang w:val="en-US" w:eastAsia="zh-CN"/>
        </w:rPr>
        <w:t xml:space="preserve">  </w:t>
      </w:r>
    </w:p>
    <w:p>
      <w:pPr>
        <w:jc w:val="left"/>
        <w:rPr>
          <w:rFonts w:hint="eastAsia" w:ascii="宋体" w:hAnsi="宋体" w:eastAsia="仿宋_GB2312"/>
          <w:sz w:val="32"/>
          <w:szCs w:val="32"/>
          <w:lang w:val="en-US" w:eastAsia="zh-CN"/>
        </w:rPr>
      </w:pPr>
    </w:p>
    <w:p>
      <w:pPr>
        <w:jc w:val="left"/>
        <w:rPr>
          <w:rFonts w:hint="eastAsia" w:ascii="宋体" w:hAnsi="宋体" w:eastAsia="仿宋_GB2312"/>
          <w:sz w:val="32"/>
          <w:szCs w:val="32"/>
          <w:lang w:val="en-US" w:eastAsia="zh-CN"/>
        </w:rPr>
      </w:pPr>
    </w:p>
    <w:p>
      <w:pPr>
        <w:jc w:val="left"/>
        <w:rPr>
          <w:rFonts w:hint="eastAsia" w:ascii="宋体" w:hAnsi="宋体" w:eastAsia="仿宋_GB2312"/>
          <w:sz w:val="32"/>
          <w:szCs w:val="32"/>
          <w:lang w:val="en-US" w:eastAsia="zh-CN"/>
        </w:rPr>
      </w:pPr>
    </w:p>
    <w:p>
      <w:pPr>
        <w:jc w:val="left"/>
        <w:rPr>
          <w:rFonts w:ascii="宋体" w:hAnsi="宋体" w:eastAsia="黑体"/>
          <w:sz w:val="32"/>
          <w:szCs w:val="32"/>
        </w:rPr>
      </w:pPr>
      <w:r>
        <w:rPr>
          <w:rFonts w:hint="eastAsia" w:ascii="宋体" w:hAnsi="宋体" w:eastAsia="黑体"/>
          <w:sz w:val="32"/>
          <w:szCs w:val="32"/>
        </w:rPr>
        <w:t>四</w:t>
      </w:r>
      <w:r>
        <w:rPr>
          <w:rFonts w:ascii="宋体" w:hAnsi="宋体" w:eastAsia="黑体"/>
          <w:sz w:val="32"/>
          <w:szCs w:val="32"/>
        </w:rPr>
        <w:t>、举报情况分析</w:t>
      </w:r>
      <w:r>
        <w:rPr>
          <w:rFonts w:hint="eastAsia" w:ascii="宋体" w:hAnsi="宋体" w:eastAsia="黑体"/>
          <w:sz w:val="32"/>
          <w:szCs w:val="32"/>
          <w:lang w:eastAsia="zh-CN"/>
        </w:rPr>
        <w:t>及热点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四</w:t>
      </w:r>
      <w:r>
        <w:rPr>
          <w:rFonts w:hint="eastAsia" w:ascii="仿宋_GB2312" w:hAnsi="仿宋_GB2312" w:eastAsia="仿宋_GB2312" w:cs="仿宋_GB2312"/>
          <w:sz w:val="32"/>
          <w:szCs w:val="32"/>
        </w:rPr>
        <w:t>季度共受理举报</w:t>
      </w:r>
      <w:r>
        <w:rPr>
          <w:rFonts w:hint="eastAsia" w:ascii="仿宋_GB2312" w:hAnsi="仿宋_GB2312" w:eastAsia="仿宋_GB2312" w:cs="仿宋_GB2312"/>
          <w:sz w:val="32"/>
          <w:szCs w:val="32"/>
          <w:lang w:val="en-US" w:eastAsia="zh-CN"/>
        </w:rPr>
        <w:t>6721</w:t>
      </w:r>
      <w:r>
        <w:rPr>
          <w:rFonts w:hint="eastAsia" w:ascii="仿宋_GB2312" w:hAnsi="仿宋_GB2312" w:eastAsia="仿宋_GB2312" w:cs="仿宋_GB2312"/>
          <w:sz w:val="32"/>
          <w:szCs w:val="32"/>
        </w:rPr>
        <w:t>件，同比增长</w:t>
      </w:r>
      <w:r>
        <w:rPr>
          <w:rFonts w:hint="eastAsia" w:ascii="仿宋_GB2312" w:hAnsi="仿宋_GB2312" w:eastAsia="仿宋_GB2312" w:cs="仿宋_GB2312"/>
          <w:sz w:val="32"/>
          <w:szCs w:val="32"/>
          <w:lang w:val="en-US" w:eastAsia="zh-CN"/>
        </w:rPr>
        <w:t>180</w:t>
      </w:r>
      <w:r>
        <w:rPr>
          <w:rFonts w:hint="eastAsia" w:ascii="仿宋_GB2312" w:hAnsi="仿宋_GB2312" w:eastAsia="仿宋_GB2312" w:cs="仿宋_GB2312"/>
          <w:sz w:val="32"/>
          <w:szCs w:val="32"/>
        </w:rPr>
        <w:t>%，环比增长</w:t>
      </w:r>
      <w:r>
        <w:rPr>
          <w:rFonts w:hint="eastAsia" w:ascii="仿宋_GB2312" w:hAnsi="仿宋_GB2312" w:eastAsia="仿宋_GB2312" w:cs="仿宋_GB2312"/>
          <w:sz w:val="32"/>
          <w:szCs w:val="32"/>
          <w:lang w:val="en-US" w:eastAsia="zh-CN"/>
        </w:rPr>
        <w:t>16.3</w:t>
      </w:r>
      <w:r>
        <w:rPr>
          <w:rFonts w:hint="eastAsia" w:ascii="仿宋_GB2312" w:hAnsi="仿宋_GB2312" w:eastAsia="仿宋_GB2312" w:cs="仿宋_GB2312"/>
          <w:sz w:val="32"/>
          <w:szCs w:val="32"/>
        </w:rPr>
        <w:t>%。经</w:t>
      </w:r>
      <w:r>
        <w:rPr>
          <w:rFonts w:hint="eastAsia" w:ascii="仿宋_GB2312" w:hAnsi="仿宋_GB2312" w:eastAsia="仿宋_GB2312" w:cs="仿宋_GB2312"/>
          <w:sz w:val="32"/>
          <w:szCs w:val="32"/>
          <w:lang w:eastAsia="zh-CN"/>
        </w:rPr>
        <w:t>执法人员</w:t>
      </w:r>
      <w:r>
        <w:rPr>
          <w:rFonts w:hint="eastAsia" w:ascii="仿宋_GB2312" w:hAnsi="仿宋_GB2312" w:eastAsia="仿宋_GB2312" w:cs="仿宋_GB2312"/>
          <w:sz w:val="32"/>
          <w:szCs w:val="32"/>
        </w:rPr>
        <w:t>核查，举报情况属实</w:t>
      </w:r>
      <w:r>
        <w:rPr>
          <w:rFonts w:hint="eastAsia" w:ascii="仿宋_GB2312" w:hAnsi="仿宋_GB2312" w:eastAsia="仿宋_GB2312" w:cs="仿宋_GB2312"/>
          <w:sz w:val="32"/>
          <w:szCs w:val="32"/>
          <w:lang w:val="en-US" w:eastAsia="zh-CN"/>
        </w:rPr>
        <w:t>213</w:t>
      </w:r>
      <w:r>
        <w:rPr>
          <w:rFonts w:hint="eastAsia" w:ascii="仿宋_GB2312" w:hAnsi="仿宋_GB2312" w:eastAsia="仿宋_GB2312" w:cs="仿宋_GB2312"/>
          <w:sz w:val="32"/>
          <w:szCs w:val="32"/>
        </w:rPr>
        <w:t>件，仅占举报总量的3.</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以举报问题类别来看，主要反映的问题有：广告违法行为(</w:t>
      </w:r>
      <w:r>
        <w:rPr>
          <w:rFonts w:hint="eastAsia" w:ascii="仿宋_GB2312" w:hAnsi="仿宋_GB2312" w:eastAsia="仿宋_GB2312" w:cs="仿宋_GB2312"/>
          <w:sz w:val="32"/>
          <w:szCs w:val="32"/>
          <w:lang w:val="en-US" w:eastAsia="zh-CN"/>
        </w:rPr>
        <w:t>2414</w:t>
      </w:r>
      <w:r>
        <w:rPr>
          <w:rFonts w:hint="eastAsia" w:ascii="仿宋_GB2312" w:hAnsi="仿宋_GB2312" w:eastAsia="仿宋_GB2312" w:cs="仿宋_GB2312"/>
          <w:sz w:val="32"/>
          <w:szCs w:val="32"/>
        </w:rPr>
        <w:t>件)、侵害消费者权益行为(</w:t>
      </w:r>
      <w:r>
        <w:rPr>
          <w:rFonts w:hint="eastAsia" w:ascii="仿宋_GB2312" w:hAnsi="仿宋_GB2312" w:eastAsia="仿宋_GB2312" w:cs="仿宋_GB2312"/>
          <w:sz w:val="32"/>
          <w:szCs w:val="32"/>
          <w:lang w:val="en-US" w:eastAsia="zh-CN"/>
        </w:rPr>
        <w:t>1191</w:t>
      </w:r>
      <w:r>
        <w:rPr>
          <w:rFonts w:hint="eastAsia" w:ascii="仿宋_GB2312" w:hAnsi="仿宋_GB2312" w:eastAsia="仿宋_GB2312" w:cs="仿宋_GB2312"/>
          <w:sz w:val="32"/>
          <w:szCs w:val="32"/>
        </w:rPr>
        <w:t>件)、不正当竞争行为(</w:t>
      </w:r>
      <w:r>
        <w:rPr>
          <w:rFonts w:hint="eastAsia" w:ascii="仿宋_GB2312" w:hAnsi="仿宋_GB2312" w:eastAsia="仿宋_GB2312" w:cs="仿宋_GB2312"/>
          <w:sz w:val="32"/>
          <w:szCs w:val="32"/>
          <w:lang w:val="en-US" w:eastAsia="zh-CN"/>
        </w:rPr>
        <w:t>996</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、价格</w:t>
      </w:r>
      <w:r>
        <w:rPr>
          <w:rFonts w:hint="eastAsia" w:ascii="仿宋_GB2312" w:hAnsi="仿宋_GB2312" w:eastAsia="仿宋_GB2312" w:cs="仿宋_GB2312"/>
          <w:sz w:val="32"/>
          <w:szCs w:val="32"/>
        </w:rPr>
        <w:t>违法行为(3</w:t>
      </w:r>
      <w:r>
        <w:rPr>
          <w:rFonts w:hint="eastAsia" w:ascii="仿宋_GB2312" w:hAnsi="仿宋_GB2312" w:eastAsia="仿宋_GB2312" w:cs="仿宋_GB2312"/>
          <w:sz w:val="32"/>
          <w:szCs w:val="32"/>
          <w:lang w:val="en-US" w:eastAsia="zh-CN"/>
        </w:rPr>
        <w:t>93</w:t>
      </w:r>
      <w:r>
        <w:rPr>
          <w:rFonts w:hint="eastAsia" w:ascii="仿宋_GB2312" w:hAnsi="仿宋_GB2312" w:eastAsia="仿宋_GB2312" w:cs="仿宋_GB2312"/>
          <w:sz w:val="32"/>
          <w:szCs w:val="32"/>
        </w:rPr>
        <w:t>件)、产品质量违法行为(</w:t>
      </w:r>
      <w:r>
        <w:rPr>
          <w:rFonts w:hint="eastAsia" w:ascii="仿宋_GB2312" w:hAnsi="仿宋_GB2312" w:eastAsia="仿宋_GB2312" w:cs="仿宋_GB2312"/>
          <w:sz w:val="32"/>
          <w:szCs w:val="32"/>
          <w:lang w:val="en-US" w:eastAsia="zh-CN"/>
        </w:rPr>
        <w:t>391</w:t>
      </w:r>
      <w:r>
        <w:rPr>
          <w:rFonts w:hint="eastAsia" w:ascii="仿宋_GB2312" w:hAnsi="仿宋_GB2312" w:eastAsia="仿宋_GB2312" w:cs="仿宋_GB2312"/>
          <w:sz w:val="32"/>
          <w:szCs w:val="32"/>
        </w:rPr>
        <w:t>件)、食品安全违法行为(</w:t>
      </w:r>
      <w:r>
        <w:rPr>
          <w:rFonts w:hint="eastAsia" w:ascii="仿宋_GB2312" w:hAnsi="仿宋_GB2312" w:eastAsia="仿宋_GB2312" w:cs="仿宋_GB2312"/>
          <w:sz w:val="32"/>
          <w:szCs w:val="32"/>
          <w:lang w:val="en-US" w:eastAsia="zh-CN"/>
        </w:rPr>
        <w:t>239</w:t>
      </w:r>
      <w:r>
        <w:rPr>
          <w:rFonts w:hint="eastAsia" w:ascii="仿宋_GB2312" w:hAnsi="仿宋_GB2312" w:eastAsia="仿宋_GB2312" w:cs="仿宋_GB2312"/>
          <w:sz w:val="32"/>
          <w:szCs w:val="32"/>
        </w:rPr>
        <w:t>件)。</w:t>
      </w:r>
      <w:r>
        <w:rPr>
          <w:rFonts w:hint="eastAsia" w:ascii="仿宋_GB2312" w:hAnsi="仿宋_GB2312" w:eastAsia="仿宋_GB2312" w:cs="仿宋_GB2312"/>
          <w:sz w:val="32"/>
          <w:szCs w:val="32"/>
          <w:lang w:eastAsia="zh-CN"/>
        </w:rPr>
        <w:t>举报内容主要涉及：</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商家在销售商品或提供服务时发布虚假宣传广告，存在夸大功效、使用极限词等违反《广告法》行为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lang w:eastAsia="zh-CN"/>
        </w:rPr>
        <w:t>商家故意拖延或无理拒绝三包售后服务、合同违法、欺诈等侵害消费者权益行为；</w:t>
      </w:r>
      <w:r>
        <w:rPr>
          <w:rFonts w:hint="eastAsia" w:ascii="仿宋_GB2312" w:hAnsi="仿宋_GB2312" w:eastAsia="仿宋_GB2312" w:cs="仿宋_GB2312"/>
          <w:sz w:val="32"/>
          <w:szCs w:val="32"/>
          <w:lang w:val="en-US" w:eastAsia="zh-CN"/>
        </w:rPr>
        <w:t>3、疫情当下，部分商家在药品销售过程中存在低标高结或通过各网络平台订购后不提供商品的行为。</w:t>
      </w:r>
    </w:p>
    <w:p>
      <w:pPr>
        <w:rPr>
          <w:rFonts w:hint="eastAsia" w:eastAsiaTheme="minorEastAsia"/>
          <w:sz w:val="32"/>
          <w:szCs w:val="32"/>
          <w:lang w:eastAsia="zh-CN"/>
        </w:rPr>
      </w:pPr>
      <w:bookmarkStart w:id="0" w:name="_GoBack"/>
      <w:r>
        <w:rPr>
          <w:rFonts w:hint="eastAsia" w:eastAsiaTheme="minorEastAsia"/>
          <w:sz w:val="32"/>
          <w:szCs w:val="32"/>
          <w:lang w:eastAsia="zh-CN"/>
        </w:rPr>
        <w:drawing>
          <wp:anchor distT="0" distB="0" distL="114300" distR="114300" simplePos="0" relativeHeight="251662336" behindDoc="0" locked="0" layoutInCell="1" allowOverlap="1">
            <wp:simplePos x="0" y="0"/>
            <wp:positionH relativeFrom="column">
              <wp:posOffset>3175</wp:posOffset>
            </wp:positionH>
            <wp:positionV relativeFrom="paragraph">
              <wp:posOffset>255905</wp:posOffset>
            </wp:positionV>
            <wp:extent cx="5015230" cy="2657475"/>
            <wp:effectExtent l="4445" t="4445" r="9525" b="5080"/>
            <wp:wrapNone/>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bookmarkEnd w:id="0"/>
    </w:p>
    <w:p>
      <w:pPr>
        <w:rPr>
          <w:rFonts w:hint="eastAsia" w:eastAsiaTheme="minorEastAsia"/>
          <w:sz w:val="32"/>
          <w:szCs w:val="32"/>
          <w:lang w:eastAsia="zh-CN"/>
        </w:rPr>
      </w:pPr>
    </w:p>
    <w:p>
      <w:pPr>
        <w:rPr>
          <w:rFonts w:hint="eastAsia" w:eastAsiaTheme="minorEastAsia"/>
          <w:sz w:val="32"/>
          <w:szCs w:val="32"/>
          <w:lang w:eastAsia="zh-CN"/>
        </w:rPr>
      </w:pPr>
    </w:p>
    <w:p>
      <w:pPr>
        <w:rPr>
          <w:rFonts w:hint="eastAsia" w:eastAsiaTheme="minorEastAsia"/>
          <w:sz w:val="32"/>
          <w:szCs w:val="32"/>
          <w:lang w:eastAsia="zh-CN"/>
        </w:rPr>
      </w:pPr>
    </w:p>
    <w:p>
      <w:pPr>
        <w:rPr>
          <w:rFonts w:hint="eastAsia" w:eastAsiaTheme="minorEastAsia"/>
          <w:sz w:val="32"/>
          <w:szCs w:val="32"/>
          <w:lang w:eastAsia="zh-CN"/>
        </w:rPr>
      </w:pPr>
    </w:p>
    <w:p>
      <w:pPr>
        <w:rPr>
          <w:rFonts w:hint="eastAsia" w:eastAsiaTheme="minorEastAsia"/>
          <w:sz w:val="32"/>
          <w:szCs w:val="32"/>
          <w:lang w:eastAsia="zh-CN"/>
        </w:rPr>
      </w:pPr>
    </w:p>
    <w:p>
      <w:pPr>
        <w:rPr>
          <w:rFonts w:hint="eastAsia" w:eastAsiaTheme="minorEastAsia"/>
          <w:sz w:val="32"/>
          <w:szCs w:val="32"/>
          <w:lang w:eastAsia="zh-CN"/>
        </w:rPr>
      </w:pPr>
    </w:p>
    <w:p>
      <w:pPr>
        <w:rPr>
          <w:rFonts w:hint="eastAsia" w:eastAsiaTheme="minorEastAsia"/>
          <w:sz w:val="32"/>
          <w:szCs w:val="32"/>
          <w:lang w:eastAsia="zh-CN"/>
        </w:rPr>
      </w:pPr>
    </w:p>
    <w:p>
      <w:pPr>
        <w:ind w:firstLine="640" w:firstLineChars="200"/>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赣州市市场监督管理局</w:t>
      </w:r>
    </w:p>
    <w:p>
      <w:pPr>
        <w:ind w:firstLine="640" w:firstLineChars="200"/>
        <w:jc w:val="cente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2023年1月29日</w:t>
      </w:r>
    </w:p>
    <w:sectPr>
      <w:pgSz w:w="11906" w:h="16838"/>
      <w:pgMar w:top="1440" w:right="1800" w:bottom="1440" w:left="1800" w:header="851" w:footer="992" w:gutter="0"/>
      <w:pgBorders>
        <w:top w:val="none" w:color="auto" w:sz="0" w:space="0"/>
        <w:left w:val="none" w:color="auto" w:sz="0" w:space="0"/>
        <w:bottom w:val="none" w:color="auto" w:sz="0" w:space="0"/>
        <w:right w:val="none" w:color="auto"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09F" w:csb1="00000000"/>
  </w:font>
  <w:font w:name="Calibri">
    <w:panose1 w:val="020F0502020204030204"/>
    <w:charset w:val="00"/>
    <w:family w:val="decorative"/>
    <w:pitch w:val="default"/>
    <w:sig w:usb0="A00002EF" w:usb1="4000207B" w:usb2="00000000" w:usb3="00000000" w:csb0="200000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09F" w:csb1="00000000"/>
  </w:font>
  <w:font w:name="Calibri">
    <w:panose1 w:val="020F0502020204030204"/>
    <w:charset w:val="00"/>
    <w:family w:val="roman"/>
    <w:pitch w:val="default"/>
    <w:sig w:usb0="A00002EF" w:usb1="4000207B" w:usb2="00000000" w:usb3="00000000" w:csb0="2000009F"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A00002EF" w:usb1="4000004B" w:usb2="00000000" w:usb3="00000000" w:csb0="2000009F" w:csb1="00000000"/>
  </w:font>
  <w:font w:name="Calibri">
    <w:panose1 w:val="020F0502020204030204"/>
    <w:charset w:val="00"/>
    <w:family w:val="modern"/>
    <w:pitch w:val="default"/>
    <w:sig w:usb0="A00002EF" w:usb1="4000207B" w:usb2="00000000" w:usb3="00000000" w:csb0="200000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roman"/>
    <w:pitch w:val="default"/>
    <w:sig w:usb0="00000001"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方正小标宋简体">
    <w:panose1 w:val="02010601030101010101"/>
    <w:charset w:val="86"/>
    <w:family w:val="auto"/>
    <w:pitch w:val="default"/>
    <w:sig w:usb0="00000001" w:usb1="080E0000" w:usb2="00000000" w:usb3="00000000" w:csb0="00040000" w:csb1="00000000"/>
  </w:font>
  <w:font w:name="Consolas">
    <w:panose1 w:val="020B0609020204030204"/>
    <w:charset w:val="00"/>
    <w:family w:val="roman"/>
    <w:pitch w:val="default"/>
    <w:sig w:usb0="A00002EF" w:usb1="4000204B" w:usb2="00000000" w:usb3="00000000" w:csb0="2000009F" w:csb1="00000000"/>
  </w:font>
  <w:font w:name="方正小标宋简体">
    <w:panose1 w:val="02010601030101010101"/>
    <w:charset w:val="86"/>
    <w:family w:val="script"/>
    <w:pitch w:val="default"/>
    <w:sig w:usb0="00000001" w:usb1="080E0000" w:usb2="00000000" w:usb3="00000000" w:csb0="00040000" w:csb1="00000000"/>
  </w:font>
  <w:font w:name="黑体">
    <w:panose1 w:val="02010600030101010101"/>
    <w:charset w:val="86"/>
    <w:family w:val="roman"/>
    <w:pitch w:val="default"/>
    <w:sig w:usb0="00000001" w:usb1="080E0000" w:usb2="00000000" w:usb3="00000000" w:csb0="00040000" w:csb1="00000000"/>
  </w:font>
  <w:font w:name="仿宋">
    <w:altName w:val="仿宋_GB2312"/>
    <w:panose1 w:val="02010609060101010101"/>
    <w:charset w:val="86"/>
    <w:family w:val="roman"/>
    <w:pitch w:val="default"/>
    <w:sig w:usb0="00000000" w:usb1="00000000" w:usb2="00000016" w:usb3="00000000" w:csb0="00040001" w:csb1="00000000"/>
  </w:font>
  <w:font w:name="楷体">
    <w:altName w:val="楷体_GB2312"/>
    <w:panose1 w:val="02010609060101010101"/>
    <w:charset w:val="86"/>
    <w:family w:val="roman"/>
    <w:pitch w:val="default"/>
    <w:sig w:usb0="00000000" w:usb1="00000000" w:usb2="00000016" w:usb3="00000000" w:csb0="00040001" w:csb1="00000000"/>
  </w:font>
  <w:font w:name="Calibri Light">
    <w:altName w:val="Calibri"/>
    <w:panose1 w:val="020F0302020204030204"/>
    <w:charset w:val="00"/>
    <w:family w:val="modern"/>
    <w:pitch w:val="default"/>
    <w:sig w:usb0="00000000" w:usb1="00000000" w:usb2="00000000" w:usb3="00000000" w:csb0="0000019F" w:csb1="00000000"/>
  </w:font>
  <w:font w:name="楷体_GB2312">
    <w:panose1 w:val="02010609030101010101"/>
    <w:charset w:val="86"/>
    <w:family w:val="auto"/>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Consolas">
    <w:panose1 w:val="020B0609020204030204"/>
    <w:charset w:val="00"/>
    <w:family w:val="modern"/>
    <w:pitch w:val="default"/>
    <w:sig w:usb0="A00002EF" w:usb1="4000204B" w:usb2="00000000" w:usb3="00000000" w:csb0="2000009F" w:csb1="00000000"/>
  </w:font>
  <w:font w:name="黑体">
    <w:panose1 w:val="02010600030101010101"/>
    <w:charset w:val="86"/>
    <w:family w:val="modern"/>
    <w:pitch w:val="default"/>
    <w:sig w:usb0="00000001" w:usb1="080E0000" w:usb2="00000000" w:usb3="00000000" w:csb0="00040000" w:csb1="00000000"/>
  </w:font>
  <w:font w:name="仿宋">
    <w:altName w:val="仿宋_GB2312"/>
    <w:panose1 w:val="02010609060101010101"/>
    <w:charset w:val="86"/>
    <w:family w:val="modern"/>
    <w:pitch w:val="default"/>
    <w:sig w:usb0="00000000" w:usb1="00000000" w:usb2="00000016" w:usb3="00000000" w:csb0="00040001" w:csb1="00000000"/>
  </w:font>
  <w:font w:name="楷体">
    <w:altName w:val="楷体_GB2312"/>
    <w:panose1 w:val="02010609060101010101"/>
    <w:charset w:val="86"/>
    <w:family w:val="modern"/>
    <w:pitch w:val="default"/>
    <w:sig w:usb0="00000000" w:usb1="00000000" w:usb2="00000016" w:usb3="00000000" w:csb0="00040001" w:csb1="00000000"/>
  </w:font>
  <w:font w:name="Calibri Light">
    <w:altName w:val="Calibri"/>
    <w:panose1 w:val="020F0302020204030204"/>
    <w:charset w:val="00"/>
    <w:family w:val="swiss"/>
    <w:pitch w:val="default"/>
    <w:sig w:usb0="00000000" w:usb1="00000000" w:usb2="00000000" w:usb3="00000000" w:csb0="0000019F" w:csb1="00000000"/>
  </w:font>
  <w:font w:name="楷体_GB2312">
    <w:panose1 w:val="02010609030101010101"/>
    <w:charset w:val="86"/>
    <w:family w:val="modern"/>
    <w:pitch w:val="default"/>
    <w:sig w:usb0="00000001" w:usb1="080E0000" w:usb2="00000000" w:usb3="00000000" w:csb0="00040000" w:csb1="00000000"/>
  </w:font>
  <w:font w:name="Consolas">
    <w:panose1 w:val="020B0609020204030204"/>
    <w:charset w:val="00"/>
    <w:family w:val="swiss"/>
    <w:pitch w:val="default"/>
    <w:sig w:usb0="A00002EF" w:usb1="4000204B" w:usb2="00000000" w:usb3="00000000" w:csb0="2000009F" w:csb1="00000000"/>
  </w:font>
  <w:font w:name="黑体">
    <w:panose1 w:val="02010600030101010101"/>
    <w:charset w:val="86"/>
    <w:family w:val="swiss"/>
    <w:pitch w:val="default"/>
    <w:sig w:usb0="00000001" w:usb1="080E0000" w:usb2="00000000" w:usb3="00000000" w:csb0="00040000" w:csb1="00000000"/>
  </w:font>
  <w:font w:name="仿宋">
    <w:altName w:val="仿宋_GB2312"/>
    <w:panose1 w:val="02010609060101010101"/>
    <w:charset w:val="86"/>
    <w:family w:val="swiss"/>
    <w:pitch w:val="default"/>
    <w:sig w:usb0="00000000" w:usb1="00000000" w:usb2="00000016" w:usb3="00000000" w:csb0="00040001" w:csb1="00000000"/>
  </w:font>
  <w:font w:name="楷体">
    <w:altName w:val="楷体_GB2312"/>
    <w:panose1 w:val="02010609060101010101"/>
    <w:charset w:val="86"/>
    <w:family w:val="swiss"/>
    <w:pitch w:val="default"/>
    <w:sig w:usb0="00000000" w:usb1="00000000" w:usb2="00000016" w:usb3="00000000" w:csb0="00040001" w:csb1="00000000"/>
  </w:font>
  <w:font w:name="Calibri Light">
    <w:altName w:val="Calibri"/>
    <w:panose1 w:val="020F0302020204030204"/>
    <w:charset w:val="00"/>
    <w:family w:val="decorative"/>
    <w:pitch w:val="default"/>
    <w:sig w:usb0="00000000" w:usb1="00000000" w:usb2="00000000" w:usb3="00000000" w:csb0="0000019F" w:csb1="00000000"/>
  </w:font>
  <w:font w:name="楷体_GB2312">
    <w:panose1 w:val="02010609030101010101"/>
    <w:charset w:val="86"/>
    <w:family w:val="swiss"/>
    <w:pitch w:val="default"/>
    <w:sig w:usb0="00000001" w:usb1="080E0000" w:usb2="00000000" w:usb3="00000000" w:csb0="00040000" w:csb1="00000000"/>
  </w:font>
  <w:font w:name="Consolas">
    <w:panose1 w:val="020B0609020204030204"/>
    <w:charset w:val="00"/>
    <w:family w:val="decorative"/>
    <w:pitch w:val="default"/>
    <w:sig w:usb0="A00002EF" w:usb1="4000204B" w:usb2="00000000" w:usb3="00000000" w:csb0="2000009F" w:csb1="00000000"/>
  </w:font>
  <w:font w:name="黑体">
    <w:panose1 w:val="02010600030101010101"/>
    <w:charset w:val="86"/>
    <w:family w:val="decorative"/>
    <w:pitch w:val="default"/>
    <w:sig w:usb0="00000001" w:usb1="080E0000" w:usb2="00000000" w:usb3="00000000" w:csb0="00040000" w:csb1="00000000"/>
  </w:font>
  <w:font w:name="仿宋">
    <w:altName w:val="仿宋_GB2312"/>
    <w:panose1 w:val="02010609060101010101"/>
    <w:charset w:val="86"/>
    <w:family w:val="decorative"/>
    <w:pitch w:val="default"/>
    <w:sig w:usb0="00000000" w:usb1="00000000" w:usb2="00000016" w:usb3="00000000" w:csb0="00040001" w:csb1="00000000"/>
  </w:font>
  <w:font w:name="楷体">
    <w:altName w:val="楷体_GB2312"/>
    <w:panose1 w:val="02010609060101010101"/>
    <w:charset w:val="86"/>
    <w:family w:val="decorative"/>
    <w:pitch w:val="default"/>
    <w:sig w:usb0="00000000" w:usb1="00000000" w:usb2="00000016" w:usb3="00000000" w:csb0="00040001" w:csb1="00000000"/>
  </w:font>
  <w:font w:name="Calibri Light">
    <w:altName w:val="Calibri"/>
    <w:panose1 w:val="020F0302020204030204"/>
    <w:charset w:val="00"/>
    <w:family w:val="roman"/>
    <w:pitch w:val="default"/>
    <w:sig w:usb0="00000000" w:usb1="00000000" w:usb2="00000000" w:usb3="00000000" w:csb0="0000019F" w:csb1="00000000"/>
  </w:font>
  <w:font w:name="楷体_GB2312">
    <w:panose1 w:val="02010609030101010101"/>
    <w:charset w:val="86"/>
    <w:family w:val="decorative"/>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73917274">
    <w:nsid w:val="8193585A"/>
    <w:multiLevelType w:val="singleLevel"/>
    <w:tmpl w:val="8193585A"/>
    <w:lvl w:ilvl="0" w:tentative="1">
      <w:start w:val="1"/>
      <w:numFmt w:val="chineseCounting"/>
      <w:suff w:val="nothing"/>
      <w:lvlText w:val="%1、"/>
      <w:lvlJc w:val="left"/>
      <w:rPr>
        <w:rFonts w:hint="eastAsia"/>
      </w:rPr>
    </w:lvl>
  </w:abstractNum>
  <w:abstractNum w:abstractNumId="1665992683">
    <w:nsid w:val="634D07EB"/>
    <w:multiLevelType w:val="singleLevel"/>
    <w:tmpl w:val="634D07EB"/>
    <w:lvl w:ilvl="0" w:tentative="1">
      <w:start w:val="1"/>
      <w:numFmt w:val="decimal"/>
      <w:suff w:val="nothing"/>
      <w:lvlText w:val="%1."/>
      <w:lvlJc w:val="left"/>
    </w:lvl>
  </w:abstractNum>
  <w:num w:numId="1">
    <w:abstractNumId w:val="2173917274"/>
  </w:num>
  <w:num w:numId="2">
    <w:abstractNumId w:val="16659926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29231E"/>
    <w:rsid w:val="2729231E"/>
    <w:rsid w:val="2E7A70A3"/>
    <w:rsid w:val="39151605"/>
    <w:rsid w:val="39DF4551"/>
    <w:rsid w:val="63BA2579"/>
    <w:rsid w:val="76E81972"/>
    <w:rsid w:val="7B9D778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vertOverflow="ellipsis" anchor="ctr" anchorCtr="1"/>
          <a:lstStyle/>
          <a:p>
            <a:pPr algn="ctr" defTabSz="914400">
              <a:defRPr sz="1600" b="0" i="0" kern="1200" cap="none" spc="50" normalizeH="0" baseline="0">
                <a:solidFill>
                  <a:schemeClr val="tx1">
                    <a:lumMod val="65000"/>
                    <a:lumOff val="35000"/>
                  </a:schemeClr>
                </a:solidFill>
                <a:latin typeface="+mj-lt"/>
                <a:ea typeface="+mj-ea"/>
                <a:cs typeface="+mj-cs"/>
              </a:defRPr>
            </a:pPr>
            <a:r>
              <a:rPr altLang="en-US" sz="1600" b="0" i="0" u="none" strike="noStrike" kern="1200" cap="none" spc="50" normalizeH="0" baseline="0">
                <a:solidFill>
                  <a:schemeClr val="tx1">
                    <a:lumMod val="65000"/>
                    <a:lumOff val="35000"/>
                  </a:schemeClr>
                </a:solidFill>
                <a:effectLst/>
                <a:latin typeface="+mj-lt"/>
                <a:ea typeface="+mj-ea"/>
                <a:cs typeface="+mj-cs"/>
              </a:rPr>
              <a:t>第四季度数据比对</a:t>
            </a:r>
            <a:endParaRPr altLang="en-US" sz="1600" b="0" i="0" u="none" strike="noStrike" kern="1200" cap="none" spc="50" normalizeH="0" baseline="0">
              <a:solidFill>
                <a:schemeClr val="tx1">
                  <a:lumMod val="65000"/>
                  <a:lumOff val="35000"/>
                </a:schemeClr>
              </a:solidFill>
              <a:effectLst/>
              <a:latin typeface="+mj-lt"/>
              <a:ea typeface="+mj-ea"/>
              <a:cs typeface="+mj-cs"/>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2022年</c:v>
                </c:pt>
              </c:strCache>
            </c:strRef>
          </c:tx>
          <c:spPr>
            <a:solidFill>
              <a:schemeClr val="accent6">
                <a:alpha val="70000"/>
              </a:schemeClr>
            </a:solidFill>
            <a:ln>
              <a:noFill/>
            </a:ln>
            <a:effectLst/>
          </c:spPr>
          <c:invertIfNegative val="0"/>
          <c:cat>
            <c:strRef>
              <c:f>Sheet1!$A$2:$A$5</c:f>
              <c:strCache>
                <c:ptCount val="4"/>
                <c:pt idx="0">
                  <c:v>总量</c:v>
                </c:pt>
                <c:pt idx="1">
                  <c:v>咨询</c:v>
                </c:pt>
                <c:pt idx="2">
                  <c:v>投诉</c:v>
                </c:pt>
                <c:pt idx="3">
                  <c:v>举报</c:v>
                </c:pt>
              </c:strCache>
            </c:strRef>
          </c:cat>
          <c:val>
            <c:numRef>
              <c:f>Sheet1!$B$2:$B$5</c:f>
              <c:numCache>
                <c:formatCode>General</c:formatCode>
                <c:ptCount val="4"/>
                <c:pt idx="0" c:formatCode="General">
                  <c:v>46210</c:v>
                </c:pt>
                <c:pt idx="1" c:formatCode="General">
                  <c:v>23802</c:v>
                </c:pt>
                <c:pt idx="2" c:formatCode="General">
                  <c:v>15687</c:v>
                </c:pt>
                <c:pt idx="3" c:formatCode="General">
                  <c:v>6721</c:v>
                </c:pt>
              </c:numCache>
            </c:numRef>
          </c:val>
        </c:ser>
        <c:ser>
          <c:idx val="1"/>
          <c:order val="1"/>
          <c:tx>
            <c:strRef>
              <c:f>Sheet1!$C$1</c:f>
              <c:strCache>
                <c:ptCount val="1"/>
                <c:pt idx="0">
                  <c:v>2021年</c:v>
                </c:pt>
              </c:strCache>
            </c:strRef>
          </c:tx>
          <c:spPr>
            <a:solidFill>
              <a:schemeClr val="accent5">
                <a:alpha val="70000"/>
              </a:schemeClr>
            </a:solidFill>
            <a:ln>
              <a:noFill/>
            </a:ln>
            <a:effectLst/>
          </c:spPr>
          <c:invertIfNegative val="0"/>
          <c:cat>
            <c:strRef>
              <c:f>Sheet1!$A$2:$A$5</c:f>
              <c:strCache>
                <c:ptCount val="4"/>
                <c:pt idx="0">
                  <c:v>总量</c:v>
                </c:pt>
                <c:pt idx="1">
                  <c:v>咨询</c:v>
                </c:pt>
                <c:pt idx="2">
                  <c:v>投诉</c:v>
                </c:pt>
                <c:pt idx="3">
                  <c:v>举报</c:v>
                </c:pt>
              </c:strCache>
            </c:strRef>
          </c:cat>
          <c:val>
            <c:numRef>
              <c:f>Sheet1!$C$2:$C$5</c:f>
              <c:numCache>
                <c:formatCode>General</c:formatCode>
                <c:ptCount val="4"/>
                <c:pt idx="0" c:formatCode="General">
                  <c:v>31159</c:v>
                </c:pt>
                <c:pt idx="1" c:formatCode="General">
                  <c:v>20428</c:v>
                </c:pt>
                <c:pt idx="2" c:formatCode="General">
                  <c:v>8208</c:v>
                </c:pt>
                <c:pt idx="3" c:formatCode="General">
                  <c:v>2523</c:v>
                </c:pt>
              </c:numCache>
            </c:numRef>
          </c:val>
        </c:ser>
        <c:dLbls>
          <c:dLblPos val="outEnd"/>
          <c:showLegendKey val="0"/>
          <c:showVal val="0"/>
          <c:showCatName val="0"/>
          <c:showSerName val="0"/>
          <c:showPercent val="0"/>
          <c:showBubbleSize val="0"/>
        </c:dLbls>
        <c:gapWidth val="80"/>
        <c:overlap val="25"/>
        <c:axId val="297750695"/>
        <c:axId val="165673530"/>
      </c:barChart>
      <c:catAx>
        <c:axId val="297750695"/>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0" vertOverflow="ellipsis" horzOverflow="overflow" vert="horz" wrap="square" anchor="ctr" anchorCtr="1"/>
          <a:lstStyle/>
          <a:p>
            <a:pPr>
              <a:defRPr sz="900" kern="1200" cap="none" spc="20" normalizeH="0" baseline="0">
                <a:solidFill>
                  <a:schemeClr val="tx1">
                    <a:lumMod val="65000"/>
                    <a:lumOff val="35000"/>
                  </a:schemeClr>
                </a:solidFill>
                <a:latin typeface="+mn-lt"/>
                <a:ea typeface="+mn-ea"/>
                <a:cs typeface="+mn-cs"/>
              </a:defRPr>
            </a:pPr>
          </a:p>
        </c:txPr>
        <c:crossAx val="165673530"/>
        <c:crosses val="autoZero"/>
        <c:auto val="1"/>
        <c:lblAlgn val="ctr"/>
        <c:lblOffset val="100"/>
        <c:tickMarkSkip val="1"/>
        <c:noMultiLvlLbl val="0"/>
      </c:catAx>
      <c:valAx>
        <c:axId val="165673530"/>
        <c:scaling>
          <c:orientation val="minMax"/>
        </c:scaling>
        <c:delete val="0"/>
        <c:axPos val="l"/>
        <c:majorGridlines>
          <c:spPr>
            <a:noFill/>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spc="20" baseline="0">
                <a:solidFill>
                  <a:schemeClr val="tx1">
                    <a:lumMod val="65000"/>
                    <a:lumOff val="35000"/>
                  </a:schemeClr>
                </a:solidFill>
                <a:latin typeface="+mn-lt"/>
                <a:ea typeface="+mn-ea"/>
                <a:cs typeface="+mn-cs"/>
              </a:defRPr>
            </a:pPr>
          </a:p>
        </c:txPr>
        <c:crossAx val="297750695"/>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dTable>
      <c:spPr>
        <a:noFill/>
        <a:ln>
          <a:noFill/>
        </a:ln>
        <a:effectLst/>
      </c:spPr>
    </c:plotArea>
    <c:legend>
      <c:legendPos val="b"/>
      <c:layout/>
      <c:overlay val="0"/>
      <c:spPr>
        <a:noFill/>
        <a:ln>
          <a:noFill/>
        </a:ln>
        <a:effectLst/>
      </c:spPr>
      <c:txPr>
        <a:bodyPr rot="0" spcFirstLastPara="0" vertOverflow="ellipsis" horzOverflow="overflow" vert="horz" wrap="square" anchor="ctr" anchorCtr="1"/>
        <a:lstStyle/>
        <a:p>
          <a:pPr>
            <a:defRPr sz="900"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dk1"/>
          </a:solidFill>
          <a:latin typeface="+mn-lt"/>
          <a:ea typeface="+mn-ea"/>
          <a:cs typeface="+mn-cs"/>
        </a:defRPr>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Overflow="ellipsis" vert="horz" anchor="ctr" anchorCtr="1"/>
          <a:lstStyle/>
          <a:p>
            <a:pPr algn="ctr" defTabSz="914400">
              <a:defRPr sz="1600" b="0" i="0" kern="1200" cap="none" spc="50" normalizeH="0" baseline="0">
                <a:solidFill>
                  <a:schemeClr val="tx1">
                    <a:lumMod val="65000"/>
                    <a:lumOff val="35000"/>
                  </a:schemeClr>
                </a:solidFill>
                <a:latin typeface="+mj-lt"/>
                <a:ea typeface="+mj-ea"/>
                <a:cs typeface="+mj-cs"/>
              </a:defRPr>
            </a:pPr>
            <a:r>
              <a:rPr sz="1600" b="0" i="0" u="none" strike="noStrike" kern="1200" cap="none" spc="50" normalizeH="0" baseline="0">
                <a:solidFill>
                  <a:schemeClr val="tx1">
                    <a:lumMod val="65000"/>
                    <a:lumOff val="35000"/>
                  </a:schemeClr>
                </a:solidFill>
                <a:effectLst/>
                <a:latin typeface="+mj-lt"/>
                <a:ea typeface="+mj-ea"/>
                <a:cs typeface="+mj-cs"/>
              </a:rPr>
              <a:t>投诉问题类别分类</a:t>
            </a:r>
            <a:r>
              <a:rPr lang="en-US" altLang="zh-CN" sz="1600" b="0" i="0" u="none" strike="noStrike" kern="1200" cap="none" spc="50" normalizeH="0" baseline="0">
                <a:solidFill>
                  <a:schemeClr val="tx1">
                    <a:lumMod val="65000"/>
                    <a:lumOff val="35000"/>
                  </a:schemeClr>
                </a:solidFill>
                <a:effectLst/>
                <a:latin typeface="+mj-lt"/>
                <a:ea typeface="+mj-ea"/>
                <a:cs typeface="+mj-cs"/>
              </a:rPr>
              <a:t>TOP</a:t>
            </a:r>
            <a:endParaRPr lang="en-US" altLang="zh-CN" sz="1600" b="0" i="0" u="none" strike="noStrike" kern="1200" cap="none" spc="50" normalizeH="0" baseline="0">
              <a:solidFill>
                <a:schemeClr val="tx1">
                  <a:lumMod val="65000"/>
                  <a:lumOff val="35000"/>
                </a:schemeClr>
              </a:solidFill>
              <a:effectLst/>
              <a:latin typeface="+mj-lt"/>
              <a:ea typeface="+mj-ea"/>
              <a:cs typeface="+mj-cs"/>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数量（件）</c:v>
                </c:pt>
              </c:strCache>
            </c:strRef>
          </c:tx>
          <c:spPr>
            <a:solidFill>
              <a:schemeClr val="accent1">
                <a:alpha val="70000"/>
              </a:schemeClr>
            </a:solidFill>
            <a:ln>
              <a:noFill/>
            </a:ln>
            <a:effectLst/>
          </c:spPr>
          <c:invertIfNegative val="0"/>
          <c:dLbls>
            <c:numFmt formatCode="General" sourceLinked="1"/>
            <c:spPr>
              <a:noFill/>
              <a:ln>
                <a:noFill/>
              </a:ln>
              <a:effectLst/>
            </c:spPr>
            <c:txPr>
              <a:bodyPr rot="0" spcFirstLastPara="0" vertOverflow="ellipsis" horzOverflow="overflow" vert="horz" wrap="square" anchor="ctr" anchorCtr="1"/>
              <a:lstStyle/>
              <a:p>
                <a:pPr>
                  <a:defRPr sz="900" kern="120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noFill/>
                    <a:ln w="9525">
                      <a:solidFill>
                        <a:schemeClr val="tx1">
                          <a:lumMod val="35000"/>
                          <a:lumOff val="65000"/>
                        </a:schemeClr>
                      </a:solidFill>
                    </a:ln>
                    <a:effectLst/>
                  </c:spPr>
                </c15:leaderLines>
              </c:ext>
            </c:extLst>
          </c:dLbls>
          <c:cat>
            <c:strRef>
              <c:f>Sheet1!$A$2:$A$6</c:f>
              <c:strCache>
                <c:ptCount val="5"/>
                <c:pt idx="0">
                  <c:v>售后服务问题</c:v>
                </c:pt>
                <c:pt idx="1">
                  <c:v>质量问题</c:v>
                </c:pt>
                <c:pt idx="2">
                  <c:v>合同问题</c:v>
                </c:pt>
                <c:pt idx="3">
                  <c:v>食品安全问题</c:v>
                </c:pt>
                <c:pt idx="4">
                  <c:v>不正当竞争问题</c:v>
                </c:pt>
              </c:strCache>
            </c:strRef>
          </c:cat>
          <c:val>
            <c:numRef>
              <c:f>Sheet1!$B$2:$B$6</c:f>
              <c:numCache>
                <c:formatCode>General</c:formatCode>
                <c:ptCount val="5"/>
                <c:pt idx="0" c:formatCode="General">
                  <c:v>4196</c:v>
                </c:pt>
                <c:pt idx="1" c:formatCode="General">
                  <c:v>4158</c:v>
                </c:pt>
                <c:pt idx="2" c:formatCode="General">
                  <c:v>1881</c:v>
                </c:pt>
                <c:pt idx="3" c:formatCode="General">
                  <c:v>952</c:v>
                </c:pt>
                <c:pt idx="4" c:formatCode="General">
                  <c:v>808</c:v>
                </c:pt>
              </c:numCache>
            </c:numRef>
          </c:val>
        </c:ser>
        <c:dLbls>
          <c:dLblPos val="outEnd"/>
          <c:showLegendKey val="0"/>
          <c:showVal val="0"/>
          <c:showCatName val="0"/>
          <c:showSerName val="0"/>
          <c:showPercent val="0"/>
          <c:showBubbleSize val="0"/>
        </c:dLbls>
        <c:gapWidth val="80"/>
        <c:overlap val="25"/>
        <c:axId val="619948529"/>
        <c:axId val="783610359"/>
      </c:barChart>
      <c:catAx>
        <c:axId val="619948529"/>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0" vertOverflow="ellipsis" horzOverflow="overflow" vert="horz" wrap="square" anchor="ctr" anchorCtr="1"/>
          <a:lstStyle/>
          <a:p>
            <a:pPr>
              <a:defRPr sz="900" kern="1200" cap="none" spc="20" normalizeH="0" baseline="0">
                <a:solidFill>
                  <a:schemeClr val="tx1">
                    <a:lumMod val="65000"/>
                    <a:lumOff val="35000"/>
                  </a:schemeClr>
                </a:solidFill>
                <a:latin typeface="+mn-lt"/>
                <a:ea typeface="+mn-ea"/>
                <a:cs typeface="+mn-cs"/>
              </a:defRPr>
            </a:pPr>
          </a:p>
        </c:txPr>
        <c:crossAx val="783610359"/>
        <c:crosses val="autoZero"/>
        <c:auto val="1"/>
        <c:lblAlgn val="ctr"/>
        <c:lblOffset val="100"/>
        <c:tickMarkSkip val="1"/>
        <c:noMultiLvlLbl val="0"/>
      </c:catAx>
      <c:valAx>
        <c:axId val="783610359"/>
        <c:scaling>
          <c:orientation val="minMax"/>
        </c:scaling>
        <c:delete val="0"/>
        <c:axPos val="l"/>
        <c:majorGridlines>
          <c:spPr>
            <a:noFill/>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spc="20" baseline="0">
                <a:solidFill>
                  <a:schemeClr val="tx1">
                    <a:lumMod val="65000"/>
                    <a:lumOff val="35000"/>
                  </a:schemeClr>
                </a:solidFill>
                <a:latin typeface="+mn-lt"/>
                <a:ea typeface="+mn-ea"/>
                <a:cs typeface="+mn-cs"/>
              </a:defRPr>
            </a:pPr>
          </a:p>
        </c:txPr>
        <c:crossAx val="619948529"/>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dk1"/>
          </a:solidFill>
          <a:latin typeface="+mn-lt"/>
          <a:ea typeface="+mn-ea"/>
          <a:cs typeface="+mn-cs"/>
        </a:defRPr>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Overflow="ellipsis" vert="horz" anchor="ctr" anchorCtr="1"/>
          <a:lstStyle/>
          <a:p>
            <a:pPr algn="ctr" defTabSz="914400">
              <a:defRPr sz="1600" b="0" i="0" kern="1200" cap="none" spc="50" normalizeH="0" baseline="0">
                <a:solidFill>
                  <a:schemeClr val="tx1">
                    <a:lumMod val="65000"/>
                    <a:lumOff val="35000"/>
                  </a:schemeClr>
                </a:solidFill>
                <a:latin typeface="+mj-lt"/>
                <a:ea typeface="+mj-ea"/>
                <a:cs typeface="+mj-cs"/>
              </a:defRPr>
            </a:pPr>
            <a:r>
              <a:rPr sz="1600" b="0" i="0" u="none" strike="noStrike" kern="1200" cap="none" spc="50" normalizeH="0" baseline="0">
                <a:solidFill>
                  <a:schemeClr val="tx1">
                    <a:lumMod val="65000"/>
                    <a:lumOff val="35000"/>
                  </a:schemeClr>
                </a:solidFill>
                <a:effectLst/>
                <a:latin typeface="+mj-lt"/>
                <a:ea typeface="+mj-ea"/>
                <a:cs typeface="+mj-cs"/>
              </a:rPr>
              <a:t>商品类投诉</a:t>
            </a:r>
            <a:r>
              <a:rPr lang="en-US" altLang="zh-CN" sz="1600" b="0" i="0" u="none" strike="noStrike" kern="1200" cap="none" spc="50" normalizeH="0" baseline="0">
                <a:solidFill>
                  <a:schemeClr val="tx1">
                    <a:lumMod val="65000"/>
                    <a:lumOff val="35000"/>
                  </a:schemeClr>
                </a:solidFill>
                <a:effectLst/>
                <a:latin typeface="+mj-lt"/>
                <a:ea typeface="+mj-ea"/>
                <a:cs typeface="+mj-cs"/>
              </a:rPr>
              <a:t>TOP</a:t>
            </a:r>
            <a:endParaRPr lang="en-US" altLang="zh-CN" sz="1600" b="0" i="0" u="none" strike="noStrike" kern="1200" cap="none" spc="50" normalizeH="0" baseline="0">
              <a:solidFill>
                <a:schemeClr val="tx1">
                  <a:lumMod val="65000"/>
                  <a:lumOff val="35000"/>
                </a:schemeClr>
              </a:solidFill>
              <a:effectLst/>
              <a:latin typeface="+mj-lt"/>
              <a:ea typeface="+mj-ea"/>
              <a:cs typeface="+mj-cs"/>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数量（件）</c:v>
                </c:pt>
              </c:strCache>
            </c:strRef>
          </c:tx>
          <c:spPr>
            <a:solidFill>
              <a:schemeClr val="accent1">
                <a:alpha val="70000"/>
              </a:schemeClr>
            </a:solidFill>
            <a:ln>
              <a:noFill/>
            </a:ln>
            <a:effectLst/>
          </c:spPr>
          <c:invertIfNegative val="0"/>
          <c:dLbls>
            <c:delete val="1"/>
          </c:dLbls>
          <c:cat>
            <c:strRef>
              <c:f>Sheet1!$A$2:$A$6</c:f>
              <c:strCache>
                <c:ptCount val="5"/>
                <c:pt idx="0">
                  <c:v>家具用品</c:v>
                </c:pt>
                <c:pt idx="1">
                  <c:v>食品</c:v>
                </c:pt>
                <c:pt idx="2">
                  <c:v>药品</c:v>
                </c:pt>
                <c:pt idx="3">
                  <c:v>服装鞋帽</c:v>
                </c:pt>
                <c:pt idx="4">
                  <c:v>交通工具</c:v>
                </c:pt>
              </c:strCache>
            </c:strRef>
          </c:cat>
          <c:val>
            <c:numRef>
              <c:f>Sheet1!$B$2:$B$6</c:f>
              <c:numCache>
                <c:formatCode>General</c:formatCode>
                <c:ptCount val="5"/>
                <c:pt idx="0" c:formatCode="General">
                  <c:v>4046</c:v>
                </c:pt>
                <c:pt idx="1" c:formatCode="General">
                  <c:v>2004</c:v>
                </c:pt>
                <c:pt idx="2" c:formatCode="General">
                  <c:v>429</c:v>
                </c:pt>
                <c:pt idx="3" c:formatCode="General">
                  <c:v>392</c:v>
                </c:pt>
                <c:pt idx="4" c:formatCode="General">
                  <c:v>391</c:v>
                </c:pt>
              </c:numCache>
            </c:numRef>
          </c:val>
        </c:ser>
        <c:dLbls>
          <c:dLblPos val="outEnd"/>
          <c:showLegendKey val="0"/>
          <c:showVal val="1"/>
          <c:showCatName val="0"/>
          <c:showSerName val="0"/>
          <c:showPercent val="0"/>
          <c:showBubbleSize val="0"/>
        </c:dLbls>
        <c:gapWidth val="80"/>
        <c:overlap val="25"/>
        <c:axId val="91240562"/>
        <c:axId val="722661618"/>
      </c:barChart>
      <c:catAx>
        <c:axId val="91240562"/>
        <c:scaling>
          <c:orientation val="minMax"/>
        </c:scaling>
        <c:delete val="0"/>
        <c:axPos val="b"/>
        <c:numFmt formatCode="General" sourceLinked="1"/>
        <c:majorTickMark val="out"/>
        <c:minorTickMark val="none"/>
        <c:tickLblPos val="nextTo"/>
        <c:spPr>
          <a:noFill/>
          <a:ln w="15875" cap="flat" cmpd="sng" algn="ctr">
            <a:solidFill>
              <a:schemeClr val="tx1">
                <a:lumMod val="25000"/>
                <a:lumOff val="75000"/>
              </a:schemeClr>
            </a:solidFill>
            <a:round/>
          </a:ln>
          <a:effectLst/>
        </c:spPr>
        <c:txPr>
          <a:bodyPr rot="-60000000" spcFirstLastPara="0" vertOverflow="ellipsis" horzOverflow="overflow" vert="horz" wrap="square" anchor="ctr" anchorCtr="1"/>
          <a:lstStyle/>
          <a:p>
            <a:pPr>
              <a:defRPr sz="900" kern="1200" cap="none" spc="20" normalizeH="0" baseline="0">
                <a:solidFill>
                  <a:schemeClr val="tx1">
                    <a:lumMod val="65000"/>
                    <a:lumOff val="35000"/>
                  </a:schemeClr>
                </a:solidFill>
                <a:latin typeface="+mn-lt"/>
                <a:ea typeface="+mn-ea"/>
                <a:cs typeface="+mn-cs"/>
              </a:defRPr>
            </a:pPr>
          </a:p>
        </c:txPr>
        <c:crossAx val="722661618"/>
        <c:crosses val="autoZero"/>
        <c:auto val="1"/>
        <c:lblAlgn val="ctr"/>
        <c:lblOffset val="100"/>
        <c:tickMarkSkip val="1"/>
        <c:noMultiLvlLbl val="0"/>
      </c:catAx>
      <c:valAx>
        <c:axId val="722661618"/>
        <c:scaling>
          <c:orientation val="minMax"/>
        </c:scaling>
        <c:delete val="0"/>
        <c:axPos val="l"/>
        <c:majorGridlines>
          <c:spPr>
            <a:noFill/>
            <a:ln w="9525" cap="flat" cmpd="sng" algn="ctr">
              <a:solidFill>
                <a:schemeClr val="tx1">
                  <a:lumMod val="5000"/>
                  <a:lumOff val="9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horzOverflow="overflow" vert="horz" wrap="square" anchor="ctr" anchorCtr="1"/>
          <a:lstStyle/>
          <a:p>
            <a:pPr>
              <a:defRPr sz="900" kern="1200" spc="20" baseline="0">
                <a:solidFill>
                  <a:schemeClr val="tx1">
                    <a:lumMod val="65000"/>
                    <a:lumOff val="35000"/>
                  </a:schemeClr>
                </a:solidFill>
                <a:latin typeface="+mn-lt"/>
                <a:ea typeface="+mn-ea"/>
                <a:cs typeface="+mn-cs"/>
              </a:defRPr>
            </a:pPr>
          </a:p>
        </c:txPr>
        <c:crossAx val="9124056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dk1"/>
          </a:solidFill>
          <a:latin typeface="+mn-lt"/>
          <a:ea typeface="+mn-ea"/>
          <a:cs typeface="+mn-cs"/>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Overflow="ellipsis" vert="horz" anchor="ctr" anchorCtr="1"/>
          <a:lstStyle/>
          <a:p>
            <a:pPr algn="ctr" defTabSz="914400">
              <a:defRPr sz="1600" b="0" i="0" kern="1200" cap="none" spc="50" normalizeH="0" baseline="0">
                <a:solidFill>
                  <a:schemeClr val="tx1">
                    <a:lumMod val="65000"/>
                    <a:lumOff val="35000"/>
                  </a:schemeClr>
                </a:solidFill>
                <a:latin typeface="+mj-lt"/>
                <a:ea typeface="+mj-ea"/>
                <a:cs typeface="+mj-cs"/>
              </a:defRPr>
            </a:pPr>
            <a:r>
              <a:rPr sz="1600" b="0" i="0" u="none" strike="noStrike" kern="1200" cap="none" spc="50" normalizeH="0" baseline="0">
                <a:solidFill>
                  <a:schemeClr val="tx1">
                    <a:lumMod val="65000"/>
                    <a:lumOff val="35000"/>
                  </a:schemeClr>
                </a:solidFill>
                <a:effectLst/>
                <a:latin typeface="+mj-lt"/>
                <a:ea typeface="+mj-ea"/>
                <a:cs typeface="+mj-cs"/>
              </a:rPr>
              <a:t>服务类投诉</a:t>
            </a:r>
            <a:r>
              <a:rPr lang="en-US" altLang="zh-CN" sz="1600" b="0" i="0" u="none" strike="noStrike" kern="1200" cap="none" spc="50" normalizeH="0" baseline="0">
                <a:solidFill>
                  <a:schemeClr val="tx1">
                    <a:lumMod val="65000"/>
                    <a:lumOff val="35000"/>
                  </a:schemeClr>
                </a:solidFill>
                <a:effectLst/>
                <a:latin typeface="+mj-lt"/>
                <a:ea typeface="+mj-ea"/>
                <a:cs typeface="+mj-cs"/>
              </a:rPr>
              <a:t>TOP</a:t>
            </a:r>
            <a:endParaRPr lang="en-US" altLang="zh-CN" sz="1600" b="0" i="0" u="none" strike="noStrike" kern="1200" cap="none" spc="50" normalizeH="0" baseline="0">
              <a:solidFill>
                <a:schemeClr val="tx1">
                  <a:lumMod val="65000"/>
                  <a:lumOff val="35000"/>
                </a:schemeClr>
              </a:solidFill>
              <a:effectLst/>
              <a:latin typeface="+mj-lt"/>
              <a:ea typeface="+mj-ea"/>
              <a:cs typeface="+mj-cs"/>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数量（件）</c:v>
                </c:pt>
              </c:strCache>
            </c:strRef>
          </c:tx>
          <c:spPr>
            <a:solidFill>
              <a:schemeClr val="accent1">
                <a:alpha val="70000"/>
              </a:schemeClr>
            </a:solidFill>
            <a:ln>
              <a:noFill/>
            </a:ln>
            <a:effectLst/>
          </c:spPr>
          <c:invertIfNegative val="0"/>
          <c:cat>
            <c:strRef>
              <c:f>Sheet1!$A$2:$A$6</c:f>
              <c:strCache>
                <c:ptCount val="5"/>
                <c:pt idx="0">
                  <c:v>教育培训服务</c:v>
                </c:pt>
                <c:pt idx="1">
                  <c:v>餐饮和住宿服务</c:v>
                </c:pt>
                <c:pt idx="2">
                  <c:v>互联网服务</c:v>
                </c:pt>
                <c:pt idx="3">
                  <c:v>销售服务</c:v>
                </c:pt>
                <c:pt idx="4">
                  <c:v>美容美发洗浴服务</c:v>
                </c:pt>
              </c:strCache>
            </c:strRef>
          </c:cat>
          <c:val>
            <c:numRef>
              <c:f>Sheet1!$B$2:$B$6</c:f>
              <c:numCache>
                <c:formatCode>General</c:formatCode>
                <c:ptCount val="5"/>
                <c:pt idx="0" c:formatCode="General">
                  <c:v>2522</c:v>
                </c:pt>
                <c:pt idx="1" c:formatCode="General">
                  <c:v>653</c:v>
                </c:pt>
                <c:pt idx="2" c:formatCode="General">
                  <c:v>622</c:v>
                </c:pt>
                <c:pt idx="3" c:formatCode="General">
                  <c:v>611</c:v>
                </c:pt>
                <c:pt idx="4" c:formatCode="General">
                  <c:v>249</c:v>
                </c:pt>
              </c:numCache>
            </c:numRef>
          </c:val>
        </c:ser>
        <c:dLbls>
          <c:dLblPos val="outEnd"/>
          <c:showLegendKey val="0"/>
          <c:showVal val="0"/>
          <c:showCatName val="0"/>
          <c:showSerName val="0"/>
          <c:showPercent val="0"/>
          <c:showBubbleSize val="0"/>
        </c:dLbls>
        <c:gapWidth val="80"/>
        <c:overlap val="25"/>
        <c:axId val="863984152"/>
        <c:axId val="307739423"/>
      </c:barChart>
      <c:catAx>
        <c:axId val="863984152"/>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0" vertOverflow="ellipsis" horzOverflow="overflow" vert="horz" wrap="square" anchor="ctr" anchorCtr="1"/>
          <a:lstStyle/>
          <a:p>
            <a:pPr>
              <a:defRPr sz="900" kern="1200" cap="none" spc="20" normalizeH="0" baseline="0">
                <a:solidFill>
                  <a:schemeClr val="tx1">
                    <a:lumMod val="65000"/>
                    <a:lumOff val="35000"/>
                  </a:schemeClr>
                </a:solidFill>
                <a:latin typeface="+mn-lt"/>
                <a:ea typeface="+mn-ea"/>
                <a:cs typeface="+mn-cs"/>
              </a:defRPr>
            </a:pPr>
          </a:p>
        </c:txPr>
        <c:crossAx val="307739423"/>
        <c:crosses val="autoZero"/>
        <c:auto val="1"/>
        <c:lblAlgn val="ctr"/>
        <c:lblOffset val="100"/>
        <c:tickMarkSkip val="1"/>
        <c:noMultiLvlLbl val="0"/>
      </c:catAx>
      <c:valAx>
        <c:axId val="307739423"/>
        <c:scaling>
          <c:orientation val="minMax"/>
        </c:scaling>
        <c:delete val="0"/>
        <c:axPos val="l"/>
        <c:majorGridlines>
          <c:spPr>
            <a:noFill/>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spc="20" baseline="0">
                <a:solidFill>
                  <a:schemeClr val="tx1">
                    <a:lumMod val="65000"/>
                    <a:lumOff val="35000"/>
                  </a:schemeClr>
                </a:solidFill>
                <a:latin typeface="+mn-lt"/>
                <a:ea typeface="+mn-ea"/>
                <a:cs typeface="+mn-cs"/>
              </a:defRPr>
            </a:pPr>
          </a:p>
        </c:txPr>
        <c:crossAx val="863984152"/>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dk1"/>
          </a:solidFill>
          <a:latin typeface="+mn-lt"/>
          <a:ea typeface="+mn-ea"/>
          <a:cs typeface="+mn-cs"/>
        </a:defRPr>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vertOverflow="ellipsis" vert="horz" anchor="ctr" anchorCtr="1"/>
          <a:lstStyle/>
          <a:p>
            <a:pPr algn="ctr" defTabSz="914400">
              <a:defRPr sz="1600" b="0" i="0" kern="1200" cap="none" spc="50" normalizeH="0" baseline="0">
                <a:solidFill>
                  <a:schemeClr val="tx1">
                    <a:lumMod val="65000"/>
                    <a:lumOff val="35000"/>
                  </a:schemeClr>
                </a:solidFill>
                <a:latin typeface="+mj-lt"/>
                <a:ea typeface="+mj-ea"/>
                <a:cs typeface="+mj-cs"/>
              </a:defRPr>
            </a:pPr>
            <a:r>
              <a:rPr sz="1600" b="0" i="0" u="none" strike="noStrike" kern="1200" cap="none" spc="50" normalizeH="0" baseline="0">
                <a:solidFill>
                  <a:schemeClr val="tx1">
                    <a:lumMod val="65000"/>
                    <a:lumOff val="35000"/>
                  </a:schemeClr>
                </a:solidFill>
                <a:effectLst/>
                <a:latin typeface="+mj-lt"/>
                <a:ea typeface="+mj-ea"/>
                <a:cs typeface="+mj-cs"/>
              </a:rPr>
              <a:t>举报问题类别分类</a:t>
            </a:r>
            <a:r>
              <a:rPr lang="en-US" altLang="zh-CN" sz="1600" b="0" i="0" u="none" strike="noStrike" kern="1200" cap="none" spc="50" normalizeH="0" baseline="0">
                <a:solidFill>
                  <a:schemeClr val="tx1">
                    <a:lumMod val="65000"/>
                    <a:lumOff val="35000"/>
                  </a:schemeClr>
                </a:solidFill>
                <a:effectLst/>
                <a:latin typeface="+mj-lt"/>
                <a:ea typeface="+mj-ea"/>
                <a:cs typeface="+mj-cs"/>
              </a:rPr>
              <a:t>TOP</a:t>
            </a:r>
            <a:endParaRPr lang="en-US" altLang="zh-CN" sz="1600" b="0" i="0" u="none" strike="noStrike" kern="1200" cap="none" spc="50" normalizeH="0" baseline="0">
              <a:solidFill>
                <a:schemeClr val="tx1">
                  <a:lumMod val="65000"/>
                  <a:lumOff val="35000"/>
                </a:schemeClr>
              </a:solidFill>
              <a:effectLst/>
              <a:latin typeface="+mj-lt"/>
              <a:ea typeface="+mj-ea"/>
              <a:cs typeface="+mj-cs"/>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数量（件）</c:v>
                </c:pt>
              </c:strCache>
            </c:strRef>
          </c:tx>
          <c:spPr>
            <a:solidFill>
              <a:schemeClr val="accent1">
                <a:alpha val="70000"/>
              </a:schemeClr>
            </a:solidFill>
            <a:ln>
              <a:noFill/>
            </a:ln>
            <a:effectLst/>
          </c:spPr>
          <c:invertIfNegative val="0"/>
          <c:cat>
            <c:strRef>
              <c:f>Sheet1!$A$2:$A$7</c:f>
              <c:strCache>
                <c:ptCount val="6"/>
                <c:pt idx="0">
                  <c:v>广告违法行为</c:v>
                </c:pt>
                <c:pt idx="1">
                  <c:v>侵害消费者权益行为</c:v>
                </c:pt>
                <c:pt idx="2">
                  <c:v>不正当竞争行为</c:v>
                </c:pt>
                <c:pt idx="3">
                  <c:v>价格违法行为</c:v>
                </c:pt>
                <c:pt idx="4">
                  <c:v>产品质量违法行为</c:v>
                </c:pt>
                <c:pt idx="5">
                  <c:v>食品安全违法行为</c:v>
                </c:pt>
              </c:strCache>
            </c:strRef>
          </c:cat>
          <c:val>
            <c:numRef>
              <c:f>Sheet1!$B$2:$B$7</c:f>
              <c:numCache>
                <c:formatCode>General</c:formatCode>
                <c:ptCount val="6"/>
                <c:pt idx="0" c:formatCode="General">
                  <c:v>2414</c:v>
                </c:pt>
                <c:pt idx="1" c:formatCode="General">
                  <c:v>1191</c:v>
                </c:pt>
                <c:pt idx="2" c:formatCode="General">
                  <c:v>996</c:v>
                </c:pt>
                <c:pt idx="3" c:formatCode="General">
                  <c:v>393</c:v>
                </c:pt>
                <c:pt idx="4" c:formatCode="General">
                  <c:v>391</c:v>
                </c:pt>
                <c:pt idx="5" c:formatCode="General">
                  <c:v>239</c:v>
                </c:pt>
              </c:numCache>
            </c:numRef>
          </c:val>
        </c:ser>
        <c:dLbls>
          <c:dLblPos val="outEnd"/>
          <c:showLegendKey val="0"/>
          <c:showVal val="0"/>
          <c:showCatName val="0"/>
          <c:showSerName val="0"/>
          <c:showPercent val="0"/>
          <c:showBubbleSize val="0"/>
        </c:dLbls>
        <c:gapWidth val="80"/>
        <c:overlap val="25"/>
        <c:axId val="771015810"/>
        <c:axId val="113937427"/>
      </c:barChart>
      <c:catAx>
        <c:axId val="771015810"/>
        <c:scaling>
          <c:orientation val="minMax"/>
        </c:scaling>
        <c:delete val="0"/>
        <c:axPos val="b"/>
        <c:numFmt formatCode="General" sourceLinked="1"/>
        <c:majorTickMark val="none"/>
        <c:minorTickMark val="none"/>
        <c:tickLblPos val="nextTo"/>
        <c:spPr>
          <a:noFill/>
          <a:ln w="15875" cap="flat" cmpd="sng" algn="ctr">
            <a:solidFill>
              <a:schemeClr val="tx1">
                <a:lumMod val="25000"/>
                <a:lumOff val="75000"/>
              </a:schemeClr>
            </a:solidFill>
            <a:round/>
          </a:ln>
          <a:effectLst/>
        </c:spPr>
        <c:txPr>
          <a:bodyPr rot="-60000000" spcFirstLastPara="0" vertOverflow="ellipsis" horzOverflow="overflow" vert="horz" wrap="square" anchor="ctr" anchorCtr="1"/>
          <a:lstStyle/>
          <a:p>
            <a:pPr>
              <a:defRPr sz="900" kern="1200" cap="none" spc="20" normalizeH="0" baseline="0">
                <a:solidFill>
                  <a:schemeClr val="tx1">
                    <a:lumMod val="65000"/>
                    <a:lumOff val="35000"/>
                  </a:schemeClr>
                </a:solidFill>
                <a:latin typeface="+mn-lt"/>
                <a:ea typeface="+mn-ea"/>
                <a:cs typeface="+mn-cs"/>
              </a:defRPr>
            </a:pPr>
          </a:p>
        </c:txPr>
        <c:crossAx val="113937427"/>
        <c:crosses val="autoZero"/>
        <c:auto val="1"/>
        <c:lblAlgn val="ctr"/>
        <c:lblOffset val="100"/>
        <c:tickMarkSkip val="1"/>
        <c:noMultiLvlLbl val="0"/>
      </c:catAx>
      <c:valAx>
        <c:axId val="113937427"/>
        <c:scaling>
          <c:orientation val="minMax"/>
        </c:scaling>
        <c:delete val="0"/>
        <c:axPos val="l"/>
        <c:majorGridlines>
          <c:spPr>
            <a:noFill/>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horzOverflow="overflow" vert="horz" wrap="square" anchor="ctr" anchorCtr="1"/>
          <a:lstStyle/>
          <a:p>
            <a:pPr>
              <a:defRPr sz="900" kern="1200" spc="20" baseline="0">
                <a:solidFill>
                  <a:schemeClr val="tx1">
                    <a:lumMod val="65000"/>
                    <a:lumOff val="35000"/>
                  </a:schemeClr>
                </a:solidFill>
                <a:latin typeface="+mn-lt"/>
                <a:ea typeface="+mn-ea"/>
                <a:cs typeface="+mn-cs"/>
              </a:defRPr>
            </a:pPr>
          </a:p>
        </c:txPr>
        <c:crossAx val="771015810"/>
        <c:crosses val="autoZero"/>
        <c:crossBetween val="between"/>
      </c:valAx>
      <c:dTable>
        <c:showHorzBorder val="1"/>
        <c:showVertBorder val="1"/>
        <c:showOutline val="1"/>
        <c:showKeys val="1"/>
        <c:spPr>
          <a:noFill/>
          <a:ln w="9525">
            <a:solidFill>
              <a:schemeClr val="tx1">
                <a:lumMod val="15000"/>
                <a:lumOff val="85000"/>
              </a:schemeClr>
            </a:solidFill>
          </a:ln>
          <a:effectLst/>
        </c:spPr>
        <c:txPr>
          <a:bodyPr rot="0" spcFirstLastPara="0" vertOverflow="ellipsis" horzOverflow="overflow" vert="horz" wrap="square" anchor="ctr" anchorCtr="1"/>
          <a:lstStyle/>
          <a:p>
            <a:pPr>
              <a:defRPr sz="900" kern="1200">
                <a:solidFill>
                  <a:schemeClr val="tx1">
                    <a:lumMod val="65000"/>
                    <a:lumOff val="35000"/>
                  </a:schemeClr>
                </a:solidFill>
                <a:latin typeface="+mn-lt"/>
                <a:ea typeface="+mn-ea"/>
                <a:cs typeface="+mn-cs"/>
              </a:defRPr>
            </a:pPr>
          </a:p>
        </c:txPr>
      </c:dTable>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rot="0" spcFirstLastPara="0" vertOverflow="ellipsis" horzOverflow="overflow" vert="horz" wrap="square" anchor="ctr" anchorCtr="1"/>
    <a:lstStyle/>
    <a:p>
      <a:pPr>
        <a:defRPr lang="zh-CN" sz="900" kern="1200">
          <a:solidFill>
            <a:schemeClr val="dk1"/>
          </a:solidFill>
          <a:latin typeface="+mn-lt"/>
          <a:ea typeface="+mn-ea"/>
          <a:cs typeface="+mn-cs"/>
        </a:defRPr>
      </a:pPr>
    </a:p>
  </c:txPr>
  <c:externalData r:id="rId1">
    <c:autoUpdate val="0"/>
  </c:externalData>
</c:chartSpace>
</file>

<file path=word/charts/colors1.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1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15875" cap="flat" cmpd="sng" algn="ctr">
        <a:solidFill>
          <a:schemeClr val="tx1">
            <a:lumMod val="25000"/>
            <a:lumOff val="75000"/>
          </a:schemeClr>
        </a:solidFill>
        <a:round/>
      </a:ln>
    </cs:spPr>
    <cs:defRPr sz="900" kern="1200" cap="none" spc="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bg1"/>
    </cs:fontRef>
    <cs:spPr>
      <a:solidFill>
        <a:schemeClr val="tx1">
          <a:lumMod val="50000"/>
          <a:lumOff val="50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70000"/>
        </a:schemeClr>
      </a:solidFill>
    </cs:spPr>
  </cs:dataPoint>
  <cs:dataPoint3D>
    <cs:lnRef idx="0"/>
    <cs:fillRef idx="0">
      <cs:styleClr val="auto"/>
    </cs:fillRef>
    <cs:effectRef idx="0"/>
    <cs:fontRef idx="minor">
      <a:schemeClr val="dk1"/>
    </cs:fontRef>
    <cs:spPr>
      <a:solidFill>
        <a:schemeClr val="phClr">
          <a:alpha val="70000"/>
        </a:schemeClr>
      </a:solidFill>
    </cs:spPr>
  </cs:dataPoint3D>
  <cs:dataPointLine>
    <cs:lnRef idx="0">
      <cs:styleClr val="auto"/>
    </cs:lnRef>
    <cs:fillRef idx="0"/>
    <cs:effectRef idx="0"/>
    <cs:fontRef idx="minor">
      <a:schemeClr val="dk1"/>
    </cs:fontRef>
    <cs:spPr>
      <a:ln w="28575" cap="rnd">
        <a:solidFill>
          <a:schemeClr val="phClr">
            <a:alpha val="70000"/>
          </a:schemeClr>
        </a:solidFill>
        <a:round/>
      </a:ln>
    </cs:spPr>
  </cs:dataPointLine>
  <cs:dataPointMarker>
    <cs:lnRef idx="0"/>
    <cs:fillRef idx="0">
      <cs:styleClr val="auto"/>
    </cs:fillRef>
    <cs:effectRef idx="0"/>
    <cs:fontRef idx="minor">
      <a:schemeClr val="dk1"/>
    </cs:fontRef>
    <cs:spPr>
      <a:solidFill>
        <a:schemeClr val="phClr">
          <a:alpha val="70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dk1"/>
    </cs:fontRef>
    <cs:spPr>
      <a:ln w="9525">
        <a:solidFill>
          <a:schemeClr val="tx1">
            <a:lumMod val="35000"/>
            <a:lumOff val="65000"/>
          </a:schemeClr>
        </a:solidFill>
        <a:round/>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5000"/>
            <a:lumOff val="9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35000"/>
            <a:lumOff val="65000"/>
          </a:schemeClr>
        </a:solidFill>
        <a:round/>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baseline="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1600" b="0" i="0" kern="1200" cap="none" spc="50" normalizeH="0" baseline="0"/>
  </cs:title>
  <cs:trendline>
    <cs:lnRef idx="0">
      <cs:styleClr val="auto"/>
    </cs:lnRef>
    <cs:fillRef idx="0"/>
    <cs:effectRef idx="0"/>
    <cs:fontRef idx="minor">
      <a:schemeClr val="dk1"/>
    </cs:fontRef>
    <cs:spPr>
      <a:ln w="15875"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defRPr sz="900" kern="1200" spc="20" baseline="0"/>
  </cs:valueAxis>
  <cs:wall>
    <cs:lnRef idx="0"/>
    <cs:fillRef idx="0"/>
    <cs:effectRef idx="0"/>
    <cs:fontRef idx="minor">
      <a:schemeClr val="dk1"/>
    </cs:fontRef>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2023-01-28T09:28:00Z</dcterms:created>
  <dc:creator>Administrator</dc:creator>
  <cp:lastModifiedBy>Administrator</cp:lastModifiedBy>
  <cp:lastPrinted>2023-02-10T07:25:44Z</cp:lastPrinted>
  <dcterms:modified xsi:type="dcterms:W3CDTF">2023-02-10T07:30:06Z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