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2024年赣州市高价值专利转化运用</w:t>
      </w:r>
      <w:r>
        <w:rPr>
          <w:rFonts w:hint="eastAsia" w:ascii="方正小标宋简体" w:hAnsi="方正小标宋简体" w:eastAsia="方正小标宋简体" w:cs="方正小标宋简体"/>
          <w:sz w:val="44"/>
          <w:szCs w:val="44"/>
          <w:lang w:eastAsia="zh-CN"/>
        </w:rPr>
        <w:t>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决赛评审结果公示</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关于举行2024年赣州市高价值专利转化运用大赛决赛的通知》《关于公布赣州市高价值专利转化运用大赛赛事规则及评分细则的通知》的要求和工作安排，2024年8月2日，赣州市市场监督管理局组织进行了2024年赣州市高价值专利转化运用大赛决赛。经专家评审，共评选出一等奖、二等奖、优秀奖预获奖项目18项，现予以公示（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公示期自202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日起至202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日止。公示期间，有异议者可以通过电话、传真、电子邮件、信函等形式实名向赣州市市场监督管理局知识产权科或赣州市市场监督管理局机关纪委反映。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地址：江西省赣州市经济技术开发区华坚南路</w:t>
      </w:r>
      <w:r>
        <w:rPr>
          <w:rFonts w:hint="eastAsia" w:ascii="仿宋_GB2312" w:hAnsi="仿宋_GB2312" w:eastAsia="仿宋_GB2312" w:cs="仿宋_GB2312"/>
          <w:sz w:val="32"/>
          <w:szCs w:val="32"/>
          <w:lang w:val="en-US" w:eastAsia="zh-CN"/>
        </w:rPr>
        <w:t>68号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联系人：申璐璐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联系电话：0797-8388013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监督电话：</w:t>
      </w:r>
      <w:r>
        <w:rPr>
          <w:rFonts w:hint="eastAsia" w:ascii="仿宋_GB2312" w:hAnsi="仿宋_GB2312" w:eastAsia="仿宋_GB2312" w:cs="仿宋_GB2312"/>
          <w:sz w:val="32"/>
          <w:szCs w:val="32"/>
          <w:lang w:val="en-US" w:eastAsia="zh-CN"/>
        </w:rPr>
        <w:t>0797-8199729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监督邮箱：</w:t>
      </w:r>
      <w:r>
        <w:rPr>
          <w:rFonts w:hint="default" w:ascii="仿宋_GB2312" w:hAnsi="仿宋_GB2312" w:eastAsia="仿宋_GB2312" w:cs="仿宋_GB2312"/>
          <w:sz w:val="32"/>
          <w:szCs w:val="32"/>
          <w:lang w:val="en"/>
        </w:rPr>
        <w:t>gzszscqj@163.com</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传真：0797-8384777</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附件：2024年赣州市高价值专利转化运用大赛预获奖名单      </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赣州市市场监督管理局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2024年赣州市高价值专利转化运用</w:t>
      </w:r>
      <w:r>
        <w:rPr>
          <w:rFonts w:hint="eastAsia" w:ascii="方正小标宋简体" w:hAnsi="方正小标宋简体" w:eastAsia="方正小标宋简体" w:cs="方正小标宋简体"/>
          <w:sz w:val="44"/>
          <w:szCs w:val="44"/>
          <w:lang w:eastAsia="zh-CN"/>
        </w:rPr>
        <w:t>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决赛预获奖名单</w:t>
      </w:r>
    </w:p>
    <w:tbl>
      <w:tblPr>
        <w:tblStyle w:val="6"/>
        <w:tblpPr w:leftFromText="180" w:rightFromText="180" w:vertAnchor="text" w:horzAnchor="page" w:tblpX="1800" w:tblpY="54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2025"/>
        <w:gridCol w:w="1245"/>
        <w:gridCol w:w="2661"/>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企业名称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28"/>
                <w:szCs w:val="28"/>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所在地</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项目名称</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预获奖等次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佳腾电业（赣州）股份有限公司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章贡区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新能源汽车驱动电机用高性能扁平绝缘电磁线专利转化运用项目</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赣州澳克泰工具技术有限公司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TiCN基金属陶瓷刀具及涂层关键技术与产业化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赣州赛可韦尔科技有限公司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废旧锂电池材料短程资源循环再生关键技术及装备研究</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赣州好朋友科技有限公司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文殊算法--多分类和检测网络项目</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朝阳聚声泰（信丰）科技有限公司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信丰县</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智能语音MEMS麦克风关键技术的研究与应用</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信丰县包钢新利稀土有限责任公司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信丰县</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外场辅助制备超细稀土氧化物粉体材料新技术及其产业化装置研发</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江西悦安新材料股份有限公司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大余县</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 xml:space="preserve">高性能微纳粉体雾化制备技术及工程应用 </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赣州有色冶金研究所有限公司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战略性钽铌锂资源高效协同回收技术研究及应用</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格力电器（赣州）有限公司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南康区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分布式送风技术的研究、专利布局及其产业化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全南县瑞隆科技有限公司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全南县</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废旧锂电池安全高效带电破碎处理工艺</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孚能科技（赣州）股份有限公司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高安全和高比能的软包动力电池系统关键技术与应用</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江西龙正科技发展有限公司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一种防辐射隧道防火涂料</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sz w:val="24"/>
                <w:szCs w:val="24"/>
                <w:vertAlign w:val="baseline"/>
                <w:lang w:val="en-US" w:eastAsia="zh-CN"/>
              </w:rPr>
            </w:pPr>
            <w:r>
              <w:rPr>
                <w:rFonts w:hint="eastAsia" w:ascii="宋体" w:hAnsi="宋体" w:eastAsia="宋体" w:cs="宋体"/>
                <w:b/>
                <w:bCs/>
                <w:i w:val="0"/>
                <w:iCs w:val="0"/>
                <w:color w:val="000000"/>
                <w:kern w:val="0"/>
                <w:sz w:val="28"/>
                <w:szCs w:val="28"/>
                <w:u w:val="none"/>
                <w:lang w:val="en-US" w:eastAsia="zh-CN" w:bidi="ar"/>
              </w:rPr>
              <w:t>序号</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企业名称</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所在地</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项目名称</w:t>
            </w:r>
          </w:p>
        </w:tc>
        <w:tc>
          <w:tcPr>
            <w:tcW w:w="170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预获奖等次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13</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赣州富尔特电子股份有限公司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经开区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磁悬浮轨道开发及产业化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江西永通科技股份有限公司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宁都县</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复合催化与多级闪蒸结晶制备高纯对叔丁基苯甲酸技术成果转化</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龙南鼎泰电子科技有限公司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龙南市</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印刷电路板制造系统</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16</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龙南骏亚电子科技有限公司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龙南市</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无人驾驶汽车HDI电路板制造技术研究项目</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赣州尚行科技有限公司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蓉江区</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基于新一代信息技术的畜禽养殖全过程控制系统</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blHeader/>
        </w:trPr>
        <w:tc>
          <w:tcPr>
            <w:tcW w:w="886"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w:t>
            </w:r>
          </w:p>
        </w:tc>
        <w:tc>
          <w:tcPr>
            <w:tcW w:w="202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江西九华药业有限公司</w:t>
            </w:r>
          </w:p>
        </w:tc>
        <w:tc>
          <w:tcPr>
            <w:tcW w:w="1245"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瑞金市</w:t>
            </w:r>
          </w:p>
        </w:tc>
        <w:tc>
          <w:tcPr>
            <w:tcW w:w="2661" w:type="dxa"/>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消炎中药颗粒剂制备与应用</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290" w:lineRule="exact"/>
              <w:jc w:val="center"/>
              <w:textAlignment w:val="auto"/>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优秀奖</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79FDE"/>
    <w:rsid w:val="3FFFD3AD"/>
    <w:rsid w:val="49F5F387"/>
    <w:rsid w:val="777F6E9D"/>
    <w:rsid w:val="78B331F5"/>
    <w:rsid w:val="7DDF630C"/>
    <w:rsid w:val="7DF61B53"/>
    <w:rsid w:val="7FB65F3A"/>
    <w:rsid w:val="7FBE0BC4"/>
    <w:rsid w:val="7FF79FDE"/>
    <w:rsid w:val="BB5B5762"/>
    <w:rsid w:val="F4A6D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仿宋_GB2312" w:hAnsi="仿宋_GB2312" w:eastAsia="楷体_GB2312" w:cs="Times New Roman"/>
      <w:sz w:val="32"/>
    </w:rPr>
  </w:style>
  <w:style w:type="paragraph" w:styleId="3">
    <w:name w:val="heading 3"/>
    <w:basedOn w:val="1"/>
    <w:next w:val="1"/>
    <w:semiHidden/>
    <w:unhideWhenUsed/>
    <w:qFormat/>
    <w:uiPriority w:val="0"/>
    <w:pPr>
      <w:keepNext/>
      <w:keepLines/>
      <w:spacing w:beforeLines="0" w:beforeAutospacing="0" w:afterLines="0" w:afterAutospacing="0" w:line="520" w:lineRule="exact"/>
      <w:ind w:firstLine="420" w:firstLineChars="200"/>
      <w:outlineLvl w:val="2"/>
    </w:pPr>
    <w:rPr>
      <w:rFonts w:eastAsia="CESI楷体-GB2312" w:asciiTheme="minorAscii" w:hAnsiTheme="minorAscii"/>
      <w:b/>
      <w:sz w:val="32"/>
    </w:rPr>
  </w:style>
  <w:style w:type="paragraph" w:styleId="4">
    <w:name w:val="heading 4"/>
    <w:basedOn w:val="1"/>
    <w:next w:val="1"/>
    <w:link w:val="8"/>
    <w:semiHidden/>
    <w:unhideWhenUsed/>
    <w:qFormat/>
    <w:uiPriority w:val="0"/>
    <w:pPr>
      <w:keepNext/>
      <w:keepLines/>
      <w:spacing w:beforeLines="0" w:beforeAutospacing="0" w:afterLines="0" w:afterAutospacing="0" w:line="520" w:lineRule="exact"/>
      <w:ind w:firstLine="420" w:firstLineChars="200"/>
      <w:outlineLvl w:val="3"/>
    </w:pPr>
    <w:rPr>
      <w:rFonts w:ascii="仿宋_GB2312" w:hAnsi="仿宋_GB2312" w:eastAsia="仿宋_GB2312"/>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4 Char"/>
    <w:link w:val="4"/>
    <w:qFormat/>
    <w:uiPriority w:val="0"/>
    <w:rPr>
      <w:rFonts w:ascii="仿宋_GB2312" w:hAnsi="仿宋_GB2312" w:eastAsia="仿宋_GB2312"/>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2024-08-06T01:50:00Z</dcterms:created>
  <dc:creator>user</dc:creator>
  <cp:lastModifiedBy>user</cp:lastModifiedBy>
  <dcterms:modified xsi:type="dcterms:W3CDTF">2024-08-05T15:44:41Z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