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80" w:firstLineChars="200"/>
        <w:jc w:val="center"/>
        <w:rPr>
          <w:rFonts w:ascii="黑体" w:eastAsia="黑体"/>
          <w:sz w:val="44"/>
          <w:szCs w:val="36"/>
        </w:rPr>
      </w:pPr>
      <w:r>
        <w:rPr>
          <w:rFonts w:hint="eastAsia" w:ascii="黑体" w:eastAsia="黑体"/>
          <w:sz w:val="44"/>
          <w:szCs w:val="36"/>
        </w:rPr>
        <w:t>赣州市商务局20</w:t>
      </w:r>
      <w:r>
        <w:rPr>
          <w:rFonts w:hint="eastAsia" w:ascii="黑体" w:eastAsia="黑体"/>
          <w:sz w:val="44"/>
          <w:szCs w:val="36"/>
          <w:lang w:val="en-US" w:eastAsia="zh-CN"/>
        </w:rPr>
        <w:t>20</w:t>
      </w:r>
      <w:r>
        <w:rPr>
          <w:rFonts w:hint="eastAsia" w:ascii="黑体" w:eastAsia="黑体"/>
          <w:sz w:val="44"/>
          <w:szCs w:val="36"/>
        </w:rPr>
        <w:t>年度部门决算</w:t>
      </w:r>
    </w:p>
    <w:p>
      <w:pPr>
        <w:spacing w:line="560" w:lineRule="exact"/>
        <w:ind w:firstLine="880" w:firstLineChars="200"/>
        <w:jc w:val="center"/>
        <w:rPr>
          <w:rFonts w:ascii="黑体" w:eastAsia="黑体"/>
          <w:sz w:val="44"/>
          <w:szCs w:val="36"/>
        </w:rPr>
      </w:pPr>
    </w:p>
    <w:p>
      <w:pPr>
        <w:spacing w:line="560" w:lineRule="exact"/>
        <w:ind w:firstLine="800" w:firstLineChars="200"/>
        <w:jc w:val="center"/>
        <w:rPr>
          <w:rFonts w:ascii="黑体" w:eastAsia="黑体"/>
          <w:sz w:val="40"/>
          <w:szCs w:val="36"/>
        </w:rPr>
      </w:pPr>
      <w:r>
        <w:rPr>
          <w:rFonts w:hint="eastAsia" w:ascii="黑体" w:eastAsia="黑体"/>
          <w:sz w:val="40"/>
          <w:szCs w:val="36"/>
        </w:rPr>
        <w:t>目    录</w:t>
      </w:r>
    </w:p>
    <w:p>
      <w:pPr>
        <w:widowControl/>
        <w:spacing w:line="560" w:lineRule="exact"/>
        <w:ind w:firstLine="640" w:firstLineChars="200"/>
        <w:jc w:val="left"/>
        <w:rPr>
          <w:rFonts w:ascii="仿宋_GB2312" w:eastAsia="仿宋_GB2312"/>
          <w:sz w:val="32"/>
          <w:szCs w:val="30"/>
        </w:rPr>
      </w:pPr>
    </w:p>
    <w:p>
      <w:pPr>
        <w:widowControl/>
        <w:spacing w:line="560" w:lineRule="exact"/>
        <w:ind w:firstLine="643" w:firstLineChars="200"/>
        <w:jc w:val="left"/>
        <w:rPr>
          <w:rFonts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sz w:val="32"/>
          <w:szCs w:val="32"/>
        </w:rPr>
        <w:t>赣州市商务局</w:t>
      </w:r>
      <w:r>
        <w:rPr>
          <w:rFonts w:hint="eastAsia" w:ascii="黑体" w:hAnsi="黑体" w:eastAsia="黑体"/>
          <w:b/>
          <w:sz w:val="32"/>
          <w:szCs w:val="32"/>
        </w:rPr>
        <w:t>概况</w:t>
      </w:r>
    </w:p>
    <w:p>
      <w:pPr>
        <w:widowControl/>
        <w:spacing w:line="560" w:lineRule="exact"/>
        <w:ind w:firstLine="640" w:firstLineChars="200"/>
        <w:jc w:val="left"/>
        <w:rPr>
          <w:rFonts w:ascii="仿宋" w:hAnsi="仿宋" w:eastAsia="仿宋"/>
          <w:sz w:val="32"/>
          <w:szCs w:val="30"/>
        </w:rPr>
      </w:pPr>
      <w:r>
        <w:rPr>
          <w:rFonts w:hint="eastAsia" w:ascii="仿宋" w:hAnsi="仿宋" w:eastAsia="仿宋"/>
          <w:sz w:val="32"/>
          <w:szCs w:val="30"/>
          <w:lang w:val="en-US" w:eastAsia="zh-CN"/>
        </w:rPr>
        <w:t xml:space="preserve">    </w:t>
      </w:r>
      <w:r>
        <w:rPr>
          <w:rFonts w:hint="eastAsia" w:ascii="仿宋" w:hAnsi="仿宋" w:eastAsia="仿宋"/>
          <w:sz w:val="32"/>
          <w:szCs w:val="30"/>
        </w:rPr>
        <w:t>一、部门主要职责</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560" w:lineRule="exact"/>
        <w:ind w:firstLine="640" w:firstLineChars="200"/>
        <w:jc w:val="left"/>
        <w:rPr>
          <w:rFonts w:ascii="黑体" w:hAnsi="黑体" w:eastAsia="黑体"/>
          <w:sz w:val="32"/>
          <w:szCs w:val="32"/>
        </w:rPr>
      </w:pPr>
      <w:r>
        <w:rPr>
          <w:rFonts w:hint="eastAsia" w:ascii="黑体" w:hAnsi="黑体" w:eastAsia="黑体"/>
          <w:sz w:val="32"/>
          <w:szCs w:val="32"/>
        </w:rPr>
        <w:t>第二部分  20</w:t>
      </w:r>
      <w:r>
        <w:rPr>
          <w:rFonts w:hint="eastAsia" w:ascii="黑体" w:hAnsi="黑体" w:eastAsia="黑体"/>
          <w:sz w:val="32"/>
          <w:szCs w:val="32"/>
          <w:lang w:val="en-US" w:eastAsia="zh-CN"/>
        </w:rPr>
        <w:t>20</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七、“三公”经费支出决算表</w:t>
      </w:r>
    </w:p>
    <w:p>
      <w:pPr>
        <w:widowControl/>
        <w:numPr>
          <w:ilvl w:val="0"/>
          <w:numId w:val="1"/>
        </w:numPr>
        <w:spacing w:line="600" w:lineRule="exact"/>
        <w:ind w:left="1280" w:leftChars="0" w:firstLine="0" w:firstLineChars="0"/>
        <w:jc w:val="left"/>
        <w:rPr>
          <w:rFonts w:hint="eastAsia" w:ascii="仿宋" w:hAnsi="仿宋" w:eastAsia="仿宋" w:cs="宋体"/>
          <w:kern w:val="0"/>
          <w:sz w:val="32"/>
          <w:szCs w:val="32"/>
        </w:rPr>
      </w:pPr>
      <w:r>
        <w:rPr>
          <w:rFonts w:hint="eastAsia" w:ascii="仿宋" w:hAnsi="仿宋" w:eastAsia="仿宋" w:cs="宋体"/>
          <w:kern w:val="0"/>
          <w:sz w:val="32"/>
          <w:szCs w:val="32"/>
        </w:rPr>
        <w:t>政府性基金预算财政拨款收入支出决算表</w:t>
      </w:r>
    </w:p>
    <w:p>
      <w:pPr>
        <w:widowControl/>
        <w:numPr>
          <w:ilvl w:val="0"/>
          <w:numId w:val="1"/>
        </w:numPr>
        <w:spacing w:line="600" w:lineRule="exact"/>
        <w:ind w:left="1280" w:leftChars="0" w:firstLine="0" w:firstLineChars="0"/>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国有资本经营预算财政拨款支出决算表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2020年度部门决算情况说明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五、“三公”经费支出决算情况说明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spacing w:line="560" w:lineRule="exact"/>
        <w:ind w:firstLine="723" w:firstLineChars="200"/>
        <w:jc w:val="center"/>
        <w:rPr>
          <w:rFonts w:ascii="宋体" w:hAnsi="宋体"/>
          <w:b/>
          <w:sz w:val="36"/>
          <w:szCs w:val="36"/>
        </w:rPr>
      </w:pPr>
    </w:p>
    <w:p>
      <w:pPr>
        <w:widowControl/>
        <w:spacing w:line="560" w:lineRule="exact"/>
        <w:ind w:firstLine="643" w:firstLineChars="200"/>
        <w:jc w:val="center"/>
        <w:rPr>
          <w:rFonts w:ascii="宋体" w:hAnsi="宋体"/>
          <w:b/>
          <w:sz w:val="32"/>
          <w:szCs w:val="30"/>
        </w:rPr>
      </w:pPr>
    </w:p>
    <w:p>
      <w:pPr>
        <w:widowControl/>
        <w:spacing w:line="560" w:lineRule="exact"/>
        <w:ind w:firstLine="643" w:firstLineChars="200"/>
        <w:jc w:val="center"/>
        <w:rPr>
          <w:rFonts w:ascii="宋体" w:hAnsi="宋体"/>
          <w:b/>
          <w:sz w:val="32"/>
          <w:szCs w:val="30"/>
        </w:rPr>
      </w:pPr>
    </w:p>
    <w:p>
      <w:pPr>
        <w:widowControl/>
        <w:spacing w:line="560" w:lineRule="exact"/>
        <w:ind w:firstLine="643" w:firstLineChars="200"/>
        <w:jc w:val="center"/>
        <w:rPr>
          <w:rFonts w:ascii="宋体" w:hAnsi="宋体"/>
          <w:b/>
          <w:sz w:val="32"/>
          <w:szCs w:val="30"/>
        </w:rPr>
      </w:pPr>
    </w:p>
    <w:p>
      <w:pPr>
        <w:widowControl/>
        <w:spacing w:line="560" w:lineRule="exact"/>
        <w:ind w:firstLine="643" w:firstLineChars="200"/>
        <w:jc w:val="center"/>
        <w:rPr>
          <w:rFonts w:ascii="宋体" w:hAnsi="宋体"/>
          <w:b/>
          <w:sz w:val="32"/>
          <w:szCs w:val="30"/>
        </w:rPr>
      </w:pPr>
    </w:p>
    <w:p>
      <w:pPr>
        <w:widowControl/>
        <w:spacing w:line="560" w:lineRule="exact"/>
        <w:ind w:firstLine="643" w:firstLineChars="200"/>
        <w:jc w:val="center"/>
        <w:rPr>
          <w:rFonts w:ascii="宋体" w:hAnsi="宋体"/>
          <w:b/>
          <w:sz w:val="32"/>
          <w:szCs w:val="30"/>
        </w:rPr>
      </w:pPr>
    </w:p>
    <w:p>
      <w:pPr>
        <w:widowControl/>
        <w:spacing w:line="560" w:lineRule="exact"/>
        <w:ind w:firstLine="643" w:firstLineChars="200"/>
        <w:jc w:val="center"/>
        <w:rPr>
          <w:rFonts w:ascii="宋体" w:hAnsi="宋体"/>
          <w:b/>
          <w:sz w:val="32"/>
          <w:szCs w:val="30"/>
        </w:rPr>
      </w:pPr>
      <w:r>
        <w:rPr>
          <w:rFonts w:hint="eastAsia" w:ascii="宋体" w:hAnsi="宋体"/>
          <w:b/>
          <w:sz w:val="32"/>
          <w:szCs w:val="30"/>
        </w:rPr>
        <w:t>第一部分  赣州市商务局概况</w:t>
      </w:r>
    </w:p>
    <w:p>
      <w:pPr>
        <w:spacing w:line="560" w:lineRule="exact"/>
        <w:ind w:firstLine="640" w:firstLineChars="200"/>
        <w:jc w:val="center"/>
        <w:rPr>
          <w:sz w:val="32"/>
          <w:szCs w:val="32"/>
        </w:rPr>
      </w:pP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一、部门主要职能</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1.贯彻执行国家和省关于国内外贸易、国际经济合作、利用内外资、商品流通和商贸服务业的各项方针政策、法律法规、制度措施。</w:t>
      </w:r>
      <w:r>
        <w:rPr>
          <w:rFonts w:hint="eastAsia" w:ascii="仿宋" w:hAnsi="仿宋" w:eastAsia="仿宋"/>
          <w:sz w:val="30"/>
          <w:szCs w:val="30"/>
        </w:rPr>
        <w:br w:type="textWrapping"/>
      </w:r>
      <w:r>
        <w:rPr>
          <w:rFonts w:hint="eastAsia" w:ascii="仿宋" w:hAnsi="仿宋" w:eastAsia="仿宋"/>
          <w:sz w:val="30"/>
          <w:szCs w:val="30"/>
        </w:rPr>
        <w:t xml:space="preserve">    2.宏观管理和指导全市商务工作。研究制定并组织实施全市国内外贸易、国际经济合作、利用内外资等方面的发展规划和发展战略。统计、分析和发布重要商务信息。参与协调商务运行中涉及财政、金融、税务、统计等领域的政策问题。</w:t>
      </w:r>
      <w:r>
        <w:rPr>
          <w:rFonts w:hint="eastAsia" w:ascii="仿宋" w:hAnsi="仿宋" w:eastAsia="仿宋"/>
          <w:sz w:val="30"/>
          <w:szCs w:val="30"/>
        </w:rPr>
        <w:br w:type="textWrapping"/>
      </w:r>
      <w:r>
        <w:rPr>
          <w:rFonts w:hint="eastAsia" w:ascii="仿宋" w:hAnsi="仿宋" w:eastAsia="仿宋"/>
          <w:sz w:val="30"/>
          <w:szCs w:val="30"/>
        </w:rPr>
        <w:t xml:space="preserve">    3.负责推进流通产业结构调整，指导社区商业发展，实施商贸服务行业管理，推动流通标准化和连锁经营、商业特许经营、物流配送、电子商务等现代商贸流通方式的发展。</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4.承担牵头协调整顿和规范我市市场经济秩序工作的责任，牵头协调组织打击商务领域侵犯知识产权、制售假冒伪劣商品、商业欺诈等工作，推动商务领域信用建设，指导商业信用销售，建立市场诚信公共服务平台，对特殊流通行业进行行业管理。</w:t>
      </w:r>
      <w:r>
        <w:rPr>
          <w:rFonts w:hint="eastAsia" w:ascii="仿宋" w:hAnsi="仿宋" w:eastAsia="仿宋"/>
          <w:sz w:val="30"/>
          <w:szCs w:val="30"/>
        </w:rPr>
        <w:br w:type="textWrapping"/>
      </w:r>
      <w:r>
        <w:rPr>
          <w:rFonts w:hint="eastAsia" w:ascii="仿宋" w:hAnsi="仿宋" w:eastAsia="仿宋"/>
          <w:sz w:val="30"/>
          <w:szCs w:val="30"/>
        </w:rPr>
        <w:t xml:space="preserve">    5.促进城乡市场发展，指导大宗商品批发市场规划和城市商业网点规划、商业体系建设的工作，推进农村市场体系建设，组织实施农村现代流通网络工程。</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6.承担组织实施重要消费品市场调控和重要生产资料流通管理的责任，负责建立健全生活必需品市场供应应急管理机制，监测分析市场运行、商品供求状况，调查分析商品价格信息，进行预测预警和信息引导，按分工负责重要商品储备管理和市场调控工作，负责酒类流通、特许经营等相关指导监督和管理工作，按有关规定对成品油市场和药品流通进行监督管理。</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7.负责利用外资和引进市外资金工作，组织拟订优化投资环境的措施，负责重大招商活动的协调组织和重大引资项目的协调工作；按职责权限审批或报批外商直接投资项目的合同、章程及其变更事项；指导全市外商投资审批工作；负责全市外商投资企业的后期管理与服务工作；监督外商投资企业执行有关法律、法规、合同情况；指导全市经济技术开发区的有关工作；为来赣州投资者以及在赣州投资企业提供政策咨询和协调服务工作。</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8.负责区域经济合作的组织协调工作，负责外地驻赣州商会、驻赣州办事机构和我市驻外商会、驻外办事机构的相关协调服务工作，指导市政府驻外机构引进资金和经济协作业务工作。</w:t>
      </w:r>
      <w:r>
        <w:rPr>
          <w:rFonts w:hint="eastAsia" w:ascii="仿宋" w:hAnsi="仿宋" w:eastAsia="仿宋"/>
          <w:sz w:val="30"/>
          <w:szCs w:val="30"/>
        </w:rPr>
        <w:br w:type="textWrapping"/>
      </w:r>
      <w:r>
        <w:rPr>
          <w:rFonts w:hint="eastAsia" w:ascii="仿宋" w:hAnsi="仿宋" w:eastAsia="仿宋"/>
          <w:sz w:val="30"/>
          <w:szCs w:val="30"/>
        </w:rPr>
        <w:t xml:space="preserve">    9.研究拟定全市进出口中长期发展规划和发展战略；促进贸易增长方式转变，指导和协调贸易促进体系的建立。负责推动企业开拓多元化国际市场；执行国家进出口商品、加工贸易管理办法和进出口管理商品、技术目录，负责组织实施重要工业品、原材料和重要农产品进出口总量计划工作，指导和协调加工贸易工作。</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10.执行国家对外技术贸易、出口管制以及鼓励技术和成套设备进出口的政策，依法监督技术引进、设备进口、国家限制出口产品的工作，受委托依法颁发相关进出口许可证件。</w:t>
      </w:r>
      <w:r>
        <w:rPr>
          <w:rFonts w:hint="eastAsia" w:ascii="仿宋" w:hAnsi="仿宋" w:eastAsia="仿宋"/>
          <w:sz w:val="30"/>
          <w:szCs w:val="30"/>
        </w:rPr>
        <w:br w:type="textWrapping"/>
      </w:r>
      <w:r>
        <w:rPr>
          <w:rFonts w:hint="eastAsia" w:ascii="仿宋" w:hAnsi="仿宋" w:eastAsia="仿宋"/>
          <w:sz w:val="30"/>
          <w:szCs w:val="30"/>
        </w:rPr>
        <w:t xml:space="preserve">    11.负责涉及世贸组织规则的相关工作，承担组织协调反倾销、反补贴、保障措施及其他与进出口公平贸易相关工作的责任；指导协调产业安全应对工作及国外对我市出口商品的反倾销、反补贴、保障措施的应诉相关工作；指导、组织本市相关企业参加境内外进出口商品交易会。</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12.贯彻执行国家对外经济合作政策、规章，制定对外投资、对外承包工程和对外劳务合作年度计划和中长期发展规划，归口管理对外投资、对外承包工程、对外劳务合作业务和统计工作，配合有关部门做好接受和管理国际多双边援助工作，负责全市人员出境就业管理。</w:t>
      </w:r>
      <w:r>
        <w:rPr>
          <w:rFonts w:hint="eastAsia" w:ascii="仿宋" w:hAnsi="仿宋" w:eastAsia="仿宋"/>
          <w:sz w:val="30"/>
          <w:szCs w:val="30"/>
        </w:rPr>
        <w:br w:type="textWrapping"/>
      </w:r>
      <w:r>
        <w:rPr>
          <w:rFonts w:hint="eastAsia" w:ascii="仿宋" w:hAnsi="仿宋" w:eastAsia="仿宋"/>
          <w:sz w:val="30"/>
          <w:szCs w:val="30"/>
        </w:rPr>
        <w:t xml:space="preserve">    13.协调、指导国际电子商务在全市外向型企业的应用；组织、实施全市贸易服务体系和电子政务管理体系的建设。</w:t>
      </w:r>
      <w:r>
        <w:rPr>
          <w:rFonts w:hint="eastAsia" w:ascii="仿宋" w:hAnsi="仿宋" w:eastAsia="仿宋"/>
          <w:sz w:val="30"/>
          <w:szCs w:val="30"/>
          <w:highlight w:val="yellow"/>
        </w:rPr>
        <w:br w:type="textWrapping"/>
      </w:r>
      <w:r>
        <w:rPr>
          <w:rFonts w:hint="eastAsia" w:ascii="仿宋" w:hAnsi="仿宋" w:eastAsia="仿宋"/>
          <w:sz w:val="30"/>
          <w:szCs w:val="30"/>
        </w:rPr>
        <w:t xml:space="preserve">    1</w:t>
      </w:r>
      <w:r>
        <w:rPr>
          <w:rFonts w:hint="eastAsia" w:ascii="仿宋" w:hAnsi="仿宋" w:eastAsia="仿宋"/>
          <w:sz w:val="30"/>
          <w:szCs w:val="30"/>
          <w:lang w:val="en-US" w:eastAsia="zh-CN"/>
        </w:rPr>
        <w:t>4</w:t>
      </w:r>
      <w:r>
        <w:rPr>
          <w:rFonts w:hint="eastAsia" w:ascii="仿宋" w:hAnsi="仿宋" w:eastAsia="仿宋"/>
          <w:sz w:val="30"/>
          <w:szCs w:val="30"/>
        </w:rPr>
        <w:t>.负责牵头拟订全市口岸总体发展规划及陆路、航空、电子口岸专项规划。协调全市口岸（含口岸作业区、特殊监管区）的建设和管理工作，负责推动大通关及口岸区域合作，协调、仲裁相关部门之间的口岸事务，负责报关、国际货代及船代等口岸行业的协调管理。</w:t>
      </w:r>
    </w:p>
    <w:p>
      <w:pPr>
        <w:spacing w:line="560" w:lineRule="exact"/>
        <w:ind w:firstLine="600" w:firstLineChars="200"/>
        <w:jc w:val="left"/>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5</w:t>
      </w:r>
      <w:r>
        <w:rPr>
          <w:rFonts w:hint="eastAsia" w:ascii="仿宋" w:hAnsi="仿宋" w:eastAsia="仿宋"/>
          <w:sz w:val="30"/>
          <w:szCs w:val="30"/>
        </w:rPr>
        <w:t>.指导督促大型商场、大型市场、成品油流通行业安全生产工作，推动企业开展安全生产标准化建设。</w:t>
      </w:r>
      <w:r>
        <w:rPr>
          <w:rFonts w:hint="eastAsia" w:ascii="仿宋" w:hAnsi="仿宋" w:eastAsia="仿宋"/>
          <w:sz w:val="30"/>
          <w:szCs w:val="30"/>
        </w:rPr>
        <w:br w:type="textWrapping"/>
      </w:r>
      <w:r>
        <w:rPr>
          <w:rFonts w:hint="eastAsia" w:ascii="仿宋" w:hAnsi="仿宋" w:eastAsia="仿宋"/>
          <w:sz w:val="30"/>
          <w:szCs w:val="30"/>
        </w:rPr>
        <w:t xml:space="preserve">    1</w:t>
      </w:r>
      <w:r>
        <w:rPr>
          <w:rFonts w:hint="eastAsia" w:ascii="仿宋" w:hAnsi="仿宋" w:eastAsia="仿宋"/>
          <w:sz w:val="30"/>
          <w:szCs w:val="30"/>
          <w:lang w:val="en-US" w:eastAsia="zh-CN"/>
        </w:rPr>
        <w:t>6</w:t>
      </w:r>
      <w:r>
        <w:rPr>
          <w:rFonts w:hint="eastAsia" w:ascii="仿宋" w:hAnsi="仿宋" w:eastAsia="仿宋"/>
          <w:sz w:val="30"/>
          <w:szCs w:val="30"/>
        </w:rPr>
        <w:t>.推进商贸流通领域资源节约和生态环境保护，督促加油站做好污染防治设施；负责批发零售企业节能降耗（含限塑）、老旧汽车报废回收拆解和更新、再生资源回收流通行业的监督管理。</w:t>
      </w:r>
    </w:p>
    <w:p>
      <w:pPr>
        <w:spacing w:line="560" w:lineRule="exact"/>
        <w:ind w:firstLine="600" w:firstLineChars="200"/>
        <w:jc w:val="left"/>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7</w:t>
      </w:r>
      <w:r>
        <w:rPr>
          <w:rFonts w:hint="eastAsia" w:ascii="仿宋" w:hAnsi="仿宋" w:eastAsia="仿宋"/>
          <w:sz w:val="30"/>
          <w:szCs w:val="30"/>
        </w:rPr>
        <w:t>.承担市开放型经济工作领导小组办公室的日常工作和市政府交办的其他事项。</w:t>
      </w:r>
    </w:p>
    <w:p>
      <w:pPr>
        <w:ind w:firstLine="630"/>
        <w:jc w:val="left"/>
        <w:rPr>
          <w:rFonts w:hint="eastAsia" w:ascii="黑体" w:hAnsi="黑体" w:eastAsia="黑体" w:cs="Times New Roman"/>
          <w:sz w:val="30"/>
          <w:szCs w:val="30"/>
        </w:rPr>
      </w:pPr>
      <w:r>
        <w:rPr>
          <w:rFonts w:hint="eastAsia" w:ascii="黑体" w:hAnsi="黑体" w:eastAsia="黑体" w:cs="Times New Roman"/>
          <w:sz w:val="30"/>
          <w:szCs w:val="30"/>
        </w:rPr>
        <w:t>二、部门基本情况</w:t>
      </w:r>
    </w:p>
    <w:p>
      <w:pPr>
        <w:ind w:firstLine="630"/>
        <w:jc w:val="left"/>
        <w:rPr>
          <w:rFonts w:hint="eastAsia" w:ascii="仿宋" w:hAnsi="仿宋" w:eastAsia="仿宋" w:cs="Times New Roman"/>
          <w:sz w:val="30"/>
          <w:szCs w:val="30"/>
        </w:rPr>
      </w:pPr>
      <w:r>
        <w:rPr>
          <w:rFonts w:hint="eastAsia" w:ascii="仿宋" w:hAnsi="仿宋" w:eastAsia="仿宋" w:cs="Times New Roman"/>
          <w:sz w:val="30"/>
          <w:szCs w:val="30"/>
        </w:rPr>
        <w:t>纳入本套部门决算汇编范围的单位共 2 个，包括：赣州市商务局机关和赣州市</w:t>
      </w:r>
      <w:r>
        <w:rPr>
          <w:rFonts w:hint="eastAsia" w:ascii="仿宋" w:hAnsi="仿宋" w:eastAsia="仿宋" w:cs="Times New Roman"/>
          <w:sz w:val="30"/>
          <w:szCs w:val="30"/>
          <w:lang w:eastAsia="zh-CN"/>
        </w:rPr>
        <w:t>跨境电子商务综合试验区管理中心</w:t>
      </w:r>
      <w:r>
        <w:rPr>
          <w:rFonts w:hint="eastAsia" w:ascii="仿宋" w:hAnsi="仿宋" w:eastAsia="仿宋" w:cs="Times New Roman"/>
          <w:sz w:val="30"/>
          <w:szCs w:val="30"/>
        </w:rPr>
        <w:t>。</w:t>
      </w:r>
    </w:p>
    <w:p>
      <w:pPr>
        <w:spacing w:line="560" w:lineRule="exact"/>
        <w:ind w:firstLine="600" w:firstLineChars="200"/>
        <w:jc w:val="left"/>
        <w:rPr>
          <w:rFonts w:ascii="仿宋" w:hAnsi="仿宋" w:eastAsia="仿宋"/>
          <w:sz w:val="30"/>
          <w:szCs w:val="30"/>
          <w:highlight w:val="none"/>
        </w:rPr>
      </w:pPr>
      <w:r>
        <w:rPr>
          <w:rFonts w:hint="eastAsia" w:ascii="仿宋" w:hAnsi="仿宋" w:eastAsia="仿宋"/>
          <w:sz w:val="30"/>
          <w:szCs w:val="30"/>
          <w:highlight w:val="none"/>
        </w:rPr>
        <w:t>本部门20</w:t>
      </w:r>
      <w:r>
        <w:rPr>
          <w:rFonts w:hint="eastAsia" w:ascii="仿宋" w:hAnsi="仿宋" w:eastAsia="仿宋"/>
          <w:sz w:val="30"/>
          <w:szCs w:val="30"/>
          <w:highlight w:val="none"/>
          <w:lang w:val="en-US" w:eastAsia="zh-CN"/>
        </w:rPr>
        <w:t>20</w:t>
      </w:r>
      <w:r>
        <w:rPr>
          <w:rFonts w:hint="eastAsia" w:ascii="仿宋" w:hAnsi="仿宋" w:eastAsia="仿宋"/>
          <w:sz w:val="30"/>
          <w:szCs w:val="30"/>
          <w:highlight w:val="none"/>
        </w:rPr>
        <w:t>年年末编制人数 52 人，其中行政编制 40人</w:t>
      </w:r>
      <w:r>
        <w:rPr>
          <w:rFonts w:hint="eastAsia" w:ascii="仿宋" w:hAnsi="仿宋" w:eastAsia="仿宋" w:cs="Times New Roman"/>
          <w:sz w:val="30"/>
          <w:szCs w:val="30"/>
          <w:highlight w:val="none"/>
        </w:rPr>
        <w:t>（含行政工勤编4个）</w:t>
      </w:r>
      <w:r>
        <w:rPr>
          <w:rFonts w:hint="eastAsia" w:ascii="仿宋" w:hAnsi="仿宋" w:eastAsia="仿宋"/>
          <w:sz w:val="30"/>
          <w:szCs w:val="30"/>
          <w:highlight w:val="none"/>
        </w:rPr>
        <w:t xml:space="preserve">，事业编制 </w:t>
      </w:r>
      <w:r>
        <w:rPr>
          <w:rFonts w:hint="eastAsia" w:ascii="仿宋" w:hAnsi="仿宋" w:eastAsia="仿宋"/>
          <w:sz w:val="30"/>
          <w:szCs w:val="30"/>
          <w:highlight w:val="none"/>
          <w:lang w:val="en-US" w:eastAsia="zh-CN"/>
        </w:rPr>
        <w:t>12</w:t>
      </w:r>
      <w:r>
        <w:rPr>
          <w:rFonts w:hint="eastAsia" w:ascii="仿宋" w:hAnsi="仿宋" w:eastAsia="仿宋"/>
          <w:sz w:val="30"/>
          <w:szCs w:val="30"/>
          <w:highlight w:val="none"/>
        </w:rPr>
        <w:t xml:space="preserve">人；年末实有人数 </w:t>
      </w:r>
      <w:r>
        <w:rPr>
          <w:rFonts w:hint="eastAsia" w:ascii="仿宋" w:hAnsi="仿宋" w:eastAsia="仿宋"/>
          <w:sz w:val="30"/>
          <w:szCs w:val="30"/>
          <w:highlight w:val="none"/>
          <w:lang w:val="en-US" w:eastAsia="zh-CN"/>
        </w:rPr>
        <w:t>133</w:t>
      </w:r>
      <w:r>
        <w:rPr>
          <w:rFonts w:hint="eastAsia" w:ascii="仿宋" w:hAnsi="仿宋" w:eastAsia="仿宋"/>
          <w:sz w:val="30"/>
          <w:szCs w:val="30"/>
          <w:highlight w:val="none"/>
        </w:rPr>
        <w:t>人，其中在职人员</w:t>
      </w:r>
      <w:r>
        <w:rPr>
          <w:rFonts w:hint="eastAsia" w:ascii="仿宋" w:hAnsi="仿宋" w:eastAsia="仿宋"/>
          <w:sz w:val="30"/>
          <w:szCs w:val="30"/>
          <w:highlight w:val="none"/>
          <w:lang w:val="en-US" w:eastAsia="zh-CN"/>
        </w:rPr>
        <w:t>50</w:t>
      </w:r>
      <w:r>
        <w:rPr>
          <w:rFonts w:hint="eastAsia" w:ascii="仿宋" w:hAnsi="仿宋" w:eastAsia="仿宋"/>
          <w:sz w:val="30"/>
          <w:szCs w:val="30"/>
          <w:highlight w:val="none"/>
        </w:rPr>
        <w:t>人（其中驻局纪检组</w:t>
      </w:r>
      <w:r>
        <w:rPr>
          <w:rFonts w:hint="eastAsia" w:ascii="仿宋" w:hAnsi="仿宋" w:eastAsia="仿宋"/>
          <w:sz w:val="30"/>
          <w:szCs w:val="30"/>
          <w:highlight w:val="none"/>
          <w:lang w:val="en-US" w:eastAsia="zh-CN"/>
        </w:rPr>
        <w:t>6</w:t>
      </w:r>
      <w:r>
        <w:rPr>
          <w:rFonts w:hint="eastAsia" w:ascii="仿宋" w:hAnsi="仿宋" w:eastAsia="仿宋"/>
          <w:sz w:val="30"/>
          <w:szCs w:val="30"/>
          <w:highlight w:val="none"/>
        </w:rPr>
        <w:t>人），离休人员</w:t>
      </w:r>
      <w:r>
        <w:rPr>
          <w:rFonts w:hint="eastAsia" w:ascii="仿宋" w:hAnsi="仿宋" w:eastAsia="仿宋"/>
          <w:sz w:val="30"/>
          <w:szCs w:val="30"/>
          <w:highlight w:val="none"/>
          <w:lang w:val="en-US" w:eastAsia="zh-CN"/>
        </w:rPr>
        <w:t>6</w:t>
      </w:r>
      <w:r>
        <w:rPr>
          <w:rFonts w:hint="eastAsia" w:ascii="仿宋" w:hAnsi="仿宋" w:eastAsia="仿宋"/>
          <w:sz w:val="30"/>
          <w:szCs w:val="30"/>
          <w:highlight w:val="none"/>
        </w:rPr>
        <w:t>人，退休人员7</w:t>
      </w:r>
      <w:r>
        <w:rPr>
          <w:rFonts w:hint="eastAsia" w:ascii="仿宋" w:hAnsi="仿宋" w:eastAsia="仿宋"/>
          <w:sz w:val="30"/>
          <w:szCs w:val="30"/>
          <w:highlight w:val="none"/>
          <w:lang w:val="en-US" w:eastAsia="zh-CN"/>
        </w:rPr>
        <w:t>6</w:t>
      </w:r>
      <w:r>
        <w:rPr>
          <w:rFonts w:hint="eastAsia" w:ascii="仿宋" w:hAnsi="仿宋" w:eastAsia="仿宋"/>
          <w:sz w:val="30"/>
          <w:szCs w:val="30"/>
          <w:highlight w:val="none"/>
        </w:rPr>
        <w:t>人，</w:t>
      </w:r>
      <w:r>
        <w:rPr>
          <w:rFonts w:hint="eastAsia" w:ascii="仿宋" w:hAnsi="仿宋" w:eastAsia="仿宋" w:cs="Times New Roman"/>
          <w:sz w:val="30"/>
          <w:szCs w:val="30"/>
          <w:highlight w:val="none"/>
        </w:rPr>
        <w:t>遗属1人</w:t>
      </w:r>
      <w:r>
        <w:rPr>
          <w:rFonts w:hint="eastAsia" w:ascii="仿宋" w:hAnsi="仿宋" w:eastAsia="仿宋"/>
          <w:sz w:val="30"/>
          <w:szCs w:val="30"/>
          <w:highlight w:val="none"/>
        </w:rPr>
        <w:t>；年末学生人数  0 人。</w:t>
      </w:r>
    </w:p>
    <w:p>
      <w:pPr>
        <w:widowControl/>
        <w:spacing w:line="560" w:lineRule="exact"/>
        <w:ind w:firstLine="643" w:firstLineChars="200"/>
        <w:rPr>
          <w:rFonts w:ascii="宋体" w:hAnsi="宋体"/>
          <w:b/>
          <w:sz w:val="32"/>
          <w:szCs w:val="32"/>
        </w:rPr>
      </w:pPr>
    </w:p>
    <w:p>
      <w:pPr>
        <w:widowControl/>
        <w:spacing w:line="560" w:lineRule="exact"/>
        <w:ind w:firstLine="643" w:firstLineChars="200"/>
        <w:jc w:val="center"/>
        <w:rPr>
          <w:rFonts w:ascii="宋体" w:hAnsi="宋体"/>
          <w:b/>
          <w:sz w:val="32"/>
          <w:szCs w:val="32"/>
        </w:rPr>
      </w:pPr>
      <w:r>
        <w:rPr>
          <w:rFonts w:hint="eastAsia" w:ascii="宋体" w:hAnsi="宋体"/>
          <w:b/>
          <w:sz w:val="32"/>
          <w:szCs w:val="32"/>
        </w:rPr>
        <w:t>第二部分  20</w:t>
      </w:r>
      <w:r>
        <w:rPr>
          <w:rFonts w:hint="eastAsia" w:ascii="宋体" w:hAnsi="宋体"/>
          <w:b/>
          <w:sz w:val="32"/>
          <w:szCs w:val="32"/>
          <w:lang w:val="en-US" w:eastAsia="zh-CN"/>
        </w:rPr>
        <w:t>20</w:t>
      </w:r>
      <w:r>
        <w:rPr>
          <w:rFonts w:hint="eastAsia" w:ascii="宋体" w:hAnsi="宋体"/>
          <w:b/>
          <w:sz w:val="32"/>
          <w:szCs w:val="32"/>
        </w:rPr>
        <w:t>年度部门决算表</w:t>
      </w:r>
    </w:p>
    <w:p>
      <w:pPr>
        <w:widowControl/>
        <w:spacing w:line="240" w:lineRule="auto"/>
        <w:ind w:firstLine="0" w:firstLineChars="0"/>
      </w:pPr>
      <w:r>
        <w:drawing>
          <wp:inline distT="0" distB="0" distL="114300" distR="114300">
            <wp:extent cx="5594985" cy="482917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94985" cy="4829175"/>
                    </a:xfrm>
                    <a:prstGeom prst="rect">
                      <a:avLst/>
                    </a:prstGeom>
                    <a:noFill/>
                    <a:ln>
                      <a:noFill/>
                    </a:ln>
                  </pic:spPr>
                </pic:pic>
              </a:graphicData>
            </a:graphic>
          </wp:inline>
        </w:drawing>
      </w:r>
    </w:p>
    <w:p>
      <w:pPr>
        <w:widowControl/>
        <w:spacing w:line="240" w:lineRule="auto"/>
        <w:ind w:firstLine="0" w:firstLineChars="0"/>
      </w:pPr>
      <w:r>
        <w:drawing>
          <wp:inline distT="0" distB="0" distL="114300" distR="114300">
            <wp:extent cx="5880100" cy="4378325"/>
            <wp:effectExtent l="0" t="0" r="635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80100" cy="4378325"/>
                    </a:xfrm>
                    <a:prstGeom prst="rect">
                      <a:avLst/>
                    </a:prstGeom>
                    <a:noFill/>
                    <a:ln>
                      <a:noFill/>
                    </a:ln>
                  </pic:spPr>
                </pic:pic>
              </a:graphicData>
            </a:graphic>
          </wp:inline>
        </w:drawing>
      </w:r>
    </w:p>
    <w:p>
      <w:pPr>
        <w:widowControl/>
        <w:spacing w:line="240" w:lineRule="auto"/>
        <w:ind w:firstLine="0" w:firstLineChars="0"/>
        <w:rPr>
          <w:rFonts w:ascii="宋体" w:hAnsi="宋体"/>
          <w:b/>
          <w:sz w:val="32"/>
          <w:szCs w:val="32"/>
        </w:rPr>
      </w:pPr>
      <w:r>
        <w:drawing>
          <wp:inline distT="0" distB="0" distL="114300" distR="114300">
            <wp:extent cx="5537200" cy="4078605"/>
            <wp:effectExtent l="0" t="0" r="635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537200" cy="4078605"/>
                    </a:xfrm>
                    <a:prstGeom prst="rect">
                      <a:avLst/>
                    </a:prstGeom>
                    <a:noFill/>
                    <a:ln>
                      <a:noFill/>
                    </a:ln>
                  </pic:spPr>
                </pic:pic>
              </a:graphicData>
            </a:graphic>
          </wp:inline>
        </w:drawing>
      </w:r>
      <w:r>
        <w:drawing>
          <wp:inline distT="0" distB="0" distL="114300" distR="114300">
            <wp:extent cx="5596890" cy="3775710"/>
            <wp:effectExtent l="0" t="0" r="3810"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596890" cy="3775710"/>
                    </a:xfrm>
                    <a:prstGeom prst="rect">
                      <a:avLst/>
                    </a:prstGeom>
                    <a:noFill/>
                    <a:ln>
                      <a:noFill/>
                    </a:ln>
                  </pic:spPr>
                </pic:pic>
              </a:graphicData>
            </a:graphic>
          </wp:inline>
        </w:drawing>
      </w:r>
      <w:r>
        <w:drawing>
          <wp:inline distT="0" distB="0" distL="114300" distR="114300">
            <wp:extent cx="5596890" cy="5427345"/>
            <wp:effectExtent l="0" t="0" r="381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596890" cy="5427345"/>
                    </a:xfrm>
                    <a:prstGeom prst="rect">
                      <a:avLst/>
                    </a:prstGeom>
                    <a:noFill/>
                    <a:ln>
                      <a:noFill/>
                    </a:ln>
                  </pic:spPr>
                </pic:pic>
              </a:graphicData>
            </a:graphic>
          </wp:inline>
        </w:drawing>
      </w:r>
      <w:r>
        <w:drawing>
          <wp:inline distT="0" distB="0" distL="114300" distR="114300">
            <wp:extent cx="5594985" cy="8198485"/>
            <wp:effectExtent l="0" t="0" r="5715"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594985" cy="8198485"/>
                    </a:xfrm>
                    <a:prstGeom prst="rect">
                      <a:avLst/>
                    </a:prstGeom>
                    <a:noFill/>
                    <a:ln>
                      <a:noFill/>
                    </a:ln>
                  </pic:spPr>
                </pic:pic>
              </a:graphicData>
            </a:graphic>
          </wp:inline>
        </w:drawing>
      </w:r>
      <w:r>
        <w:drawing>
          <wp:inline distT="0" distB="0" distL="114300" distR="114300">
            <wp:extent cx="5600065" cy="4579620"/>
            <wp:effectExtent l="0" t="0" r="635"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600065" cy="4579620"/>
                    </a:xfrm>
                    <a:prstGeom prst="rect">
                      <a:avLst/>
                    </a:prstGeom>
                    <a:noFill/>
                    <a:ln>
                      <a:noFill/>
                    </a:ln>
                  </pic:spPr>
                </pic:pic>
              </a:graphicData>
            </a:graphic>
          </wp:inline>
        </w:drawing>
      </w:r>
      <w:r>
        <w:drawing>
          <wp:inline distT="0" distB="0" distL="114300" distR="114300">
            <wp:extent cx="5591810" cy="1451610"/>
            <wp:effectExtent l="0" t="0" r="8890"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591810" cy="1451610"/>
                    </a:xfrm>
                    <a:prstGeom prst="rect">
                      <a:avLst/>
                    </a:prstGeom>
                    <a:noFill/>
                    <a:ln>
                      <a:noFill/>
                    </a:ln>
                  </pic:spPr>
                </pic:pic>
              </a:graphicData>
            </a:graphic>
          </wp:inline>
        </w:drawing>
      </w:r>
      <w:r>
        <w:drawing>
          <wp:inline distT="0" distB="0" distL="114300" distR="114300">
            <wp:extent cx="5598795" cy="1550035"/>
            <wp:effectExtent l="0" t="0" r="190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598795" cy="1550035"/>
                    </a:xfrm>
                    <a:prstGeom prst="rect">
                      <a:avLst/>
                    </a:prstGeom>
                    <a:noFill/>
                    <a:ln>
                      <a:noFill/>
                    </a:ln>
                  </pic:spPr>
                </pic:pic>
              </a:graphicData>
            </a:graphic>
          </wp:inline>
        </w:drawing>
      </w:r>
      <w:r>
        <w:drawing>
          <wp:inline distT="0" distB="0" distL="114300" distR="114300">
            <wp:extent cx="5572125" cy="31718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572125" cy="3171825"/>
                    </a:xfrm>
                    <a:prstGeom prst="rect">
                      <a:avLst/>
                    </a:prstGeom>
                    <a:noFill/>
                    <a:ln>
                      <a:noFill/>
                    </a:ln>
                  </pic:spPr>
                </pic:pic>
              </a:graphicData>
            </a:graphic>
          </wp:inline>
        </w:drawing>
      </w:r>
    </w:p>
    <w:p>
      <w:pPr>
        <w:widowControl/>
        <w:spacing w:line="560" w:lineRule="exact"/>
        <w:ind w:firstLine="643" w:firstLineChars="200"/>
        <w:jc w:val="center"/>
        <w:rPr>
          <w:rFonts w:ascii="宋体" w:hAnsi="宋体"/>
          <w:b/>
          <w:sz w:val="32"/>
          <w:szCs w:val="32"/>
          <w:highlight w:val="none"/>
        </w:rPr>
      </w:pPr>
      <w:r>
        <w:rPr>
          <w:rFonts w:hint="eastAsia" w:ascii="宋体" w:hAnsi="宋体"/>
          <w:b/>
          <w:sz w:val="32"/>
          <w:szCs w:val="32"/>
          <w:highlight w:val="none"/>
        </w:rPr>
        <w:t>第三部分  20</w:t>
      </w:r>
      <w:r>
        <w:rPr>
          <w:rFonts w:hint="eastAsia" w:ascii="宋体" w:hAnsi="宋体"/>
          <w:b/>
          <w:sz w:val="32"/>
          <w:szCs w:val="32"/>
          <w:highlight w:val="none"/>
          <w:lang w:val="en-US" w:eastAsia="zh-CN"/>
        </w:rPr>
        <w:t>20</w:t>
      </w:r>
      <w:r>
        <w:rPr>
          <w:rFonts w:hint="eastAsia" w:ascii="宋体" w:hAnsi="宋体"/>
          <w:b/>
          <w:sz w:val="32"/>
          <w:szCs w:val="32"/>
          <w:highlight w:val="none"/>
        </w:rPr>
        <w:t>年度部门决算情况说明</w:t>
      </w:r>
    </w:p>
    <w:p>
      <w:pPr>
        <w:spacing w:line="560" w:lineRule="exact"/>
        <w:ind w:firstLine="600" w:firstLineChars="200"/>
        <w:jc w:val="left"/>
        <w:rPr>
          <w:rFonts w:ascii="仿宋" w:hAnsi="仿宋" w:eastAsia="仿宋"/>
          <w:sz w:val="30"/>
          <w:szCs w:val="30"/>
        </w:rPr>
      </w:pP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一、收入决算情况说明</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本部门20</w:t>
      </w:r>
      <w:r>
        <w:rPr>
          <w:rFonts w:hint="default" w:ascii="仿宋" w:hAnsi="仿宋" w:eastAsia="仿宋"/>
          <w:sz w:val="30"/>
          <w:szCs w:val="30"/>
          <w:lang w:val="en"/>
        </w:rPr>
        <w:t>20</w:t>
      </w:r>
      <w:r>
        <w:rPr>
          <w:rFonts w:hint="eastAsia" w:ascii="仿宋" w:hAnsi="仿宋" w:eastAsia="仿宋"/>
          <w:sz w:val="30"/>
          <w:szCs w:val="30"/>
        </w:rPr>
        <w:t>年度收入总计3883.33万元，其中年初结转和结余1458.58 万元，较201</w:t>
      </w:r>
      <w:r>
        <w:rPr>
          <w:rFonts w:hint="default" w:ascii="仿宋" w:hAnsi="仿宋" w:eastAsia="仿宋"/>
          <w:sz w:val="30"/>
          <w:szCs w:val="30"/>
          <w:lang w:val="en"/>
        </w:rPr>
        <w:t>9</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349.64</w:t>
      </w:r>
      <w:r>
        <w:rPr>
          <w:rFonts w:hint="eastAsia" w:ascii="仿宋" w:hAnsi="仿宋" w:eastAsia="仿宋"/>
          <w:sz w:val="30"/>
          <w:szCs w:val="30"/>
        </w:rPr>
        <w:t>万元，减少</w:t>
      </w:r>
      <w:r>
        <w:rPr>
          <w:rFonts w:hint="eastAsia" w:ascii="仿宋" w:hAnsi="仿宋" w:eastAsia="仿宋"/>
          <w:sz w:val="30"/>
          <w:szCs w:val="30"/>
          <w:lang w:val="en-US" w:eastAsia="zh-CN"/>
        </w:rPr>
        <w:t>31.52</w:t>
      </w:r>
      <w:r>
        <w:rPr>
          <w:rFonts w:hint="eastAsia" w:ascii="仿宋" w:hAnsi="仿宋" w:eastAsia="仿宋"/>
          <w:sz w:val="30"/>
          <w:szCs w:val="30"/>
        </w:rPr>
        <w:t>%；本年收入合计</w:t>
      </w:r>
      <w:r>
        <w:rPr>
          <w:rFonts w:hint="eastAsia" w:ascii="仿宋" w:hAnsi="仿宋" w:eastAsia="仿宋"/>
          <w:sz w:val="30"/>
          <w:szCs w:val="30"/>
          <w:lang w:val="en-US" w:eastAsia="zh-CN"/>
        </w:rPr>
        <w:t>2424.75</w:t>
      </w:r>
      <w:r>
        <w:rPr>
          <w:rFonts w:hint="eastAsia" w:ascii="仿宋" w:hAnsi="仿宋" w:eastAsia="仿宋"/>
          <w:sz w:val="30"/>
          <w:szCs w:val="30"/>
        </w:rPr>
        <w:t>万元，较201</w:t>
      </w:r>
      <w:r>
        <w:rPr>
          <w:rFonts w:hint="eastAsia" w:ascii="仿宋" w:hAnsi="仿宋" w:eastAsia="仿宋"/>
          <w:sz w:val="30"/>
          <w:szCs w:val="30"/>
          <w:lang w:val="en-US" w:eastAsia="zh-CN"/>
        </w:rPr>
        <w:t>9</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677.19</w:t>
      </w:r>
      <w:r>
        <w:rPr>
          <w:rFonts w:hint="eastAsia" w:ascii="仿宋" w:hAnsi="仿宋" w:eastAsia="仿宋"/>
          <w:sz w:val="30"/>
          <w:szCs w:val="30"/>
        </w:rPr>
        <w:t xml:space="preserve"> 万元，</w:t>
      </w:r>
      <w:r>
        <w:rPr>
          <w:rFonts w:hint="eastAsia" w:ascii="仿宋" w:hAnsi="仿宋" w:eastAsia="仿宋"/>
          <w:sz w:val="30"/>
          <w:szCs w:val="30"/>
          <w:lang w:eastAsia="zh-CN"/>
        </w:rPr>
        <w:t>减少</w:t>
      </w:r>
      <w:r>
        <w:rPr>
          <w:rFonts w:hint="eastAsia" w:ascii="仿宋" w:hAnsi="仿宋" w:eastAsia="仿宋"/>
          <w:sz w:val="30"/>
          <w:szCs w:val="30"/>
          <w:lang w:val="en-US" w:eastAsia="zh-CN"/>
        </w:rPr>
        <w:t>21.83</w:t>
      </w:r>
      <w:r>
        <w:rPr>
          <w:rFonts w:hint="eastAsia" w:ascii="仿宋" w:hAnsi="仿宋" w:eastAsia="仿宋"/>
          <w:sz w:val="30"/>
          <w:szCs w:val="30"/>
        </w:rPr>
        <w:t>%，主要原因是</w:t>
      </w:r>
      <w:r>
        <w:rPr>
          <w:rFonts w:hint="eastAsia" w:ascii="仿宋" w:hAnsi="仿宋" w:eastAsia="仿宋"/>
          <w:sz w:val="30"/>
          <w:szCs w:val="30"/>
          <w:lang w:eastAsia="zh-CN"/>
        </w:rPr>
        <w:t>：机构改革划转人员和疫情影响，缩减开支</w:t>
      </w:r>
      <w:r>
        <w:rPr>
          <w:rFonts w:hint="eastAsia" w:ascii="仿宋" w:hAnsi="仿宋" w:eastAsia="仿宋"/>
          <w:sz w:val="30"/>
          <w:szCs w:val="30"/>
        </w:rPr>
        <w:t>。</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2424.75</w:t>
      </w:r>
      <w:r>
        <w:rPr>
          <w:rFonts w:hint="eastAsia" w:ascii="仿宋" w:hAnsi="仿宋" w:eastAsia="仿宋"/>
          <w:sz w:val="30"/>
          <w:szCs w:val="30"/>
        </w:rPr>
        <w:t xml:space="preserve">万元，占100%；事业收入 0万元，占 0%；经营收入0万元，占0%；其他收入0万元，占0%。  </w:t>
      </w: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二、支出决算情况说明</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本部门20</w:t>
      </w:r>
      <w:r>
        <w:rPr>
          <w:rFonts w:hint="eastAsia" w:ascii="仿宋" w:hAnsi="仿宋" w:eastAsia="仿宋"/>
          <w:sz w:val="30"/>
          <w:szCs w:val="30"/>
          <w:lang w:val="en-US" w:eastAsia="zh-CN"/>
        </w:rPr>
        <w:t>20</w:t>
      </w:r>
      <w:r>
        <w:rPr>
          <w:rFonts w:hint="eastAsia" w:ascii="仿宋" w:hAnsi="仿宋" w:eastAsia="仿宋"/>
          <w:sz w:val="30"/>
          <w:szCs w:val="30"/>
        </w:rPr>
        <w:t xml:space="preserve">年度支出总计3883.33万元，其中本年支出合计   </w:t>
      </w:r>
      <w:r>
        <w:rPr>
          <w:rFonts w:hint="eastAsia" w:ascii="仿宋" w:hAnsi="仿宋" w:eastAsia="仿宋"/>
          <w:sz w:val="30"/>
          <w:szCs w:val="30"/>
          <w:lang w:val="en-US" w:eastAsia="zh-CN"/>
        </w:rPr>
        <w:t>2935.95</w:t>
      </w:r>
      <w:r>
        <w:rPr>
          <w:rFonts w:hint="eastAsia" w:ascii="仿宋" w:hAnsi="仿宋" w:eastAsia="仿宋"/>
          <w:sz w:val="30"/>
          <w:szCs w:val="30"/>
        </w:rPr>
        <w:t>万元，较20</w:t>
      </w:r>
      <w:r>
        <w:rPr>
          <w:rFonts w:hint="eastAsia" w:ascii="仿宋" w:hAnsi="仿宋" w:eastAsia="仿宋"/>
          <w:sz w:val="30"/>
          <w:szCs w:val="30"/>
          <w:lang w:val="en-US" w:eastAsia="zh-CN"/>
        </w:rPr>
        <w:t>19</w:t>
      </w:r>
      <w:r>
        <w:rPr>
          <w:rFonts w:hint="eastAsia" w:ascii="仿宋" w:hAnsi="仿宋" w:eastAsia="仿宋"/>
          <w:sz w:val="30"/>
          <w:szCs w:val="30"/>
        </w:rPr>
        <w:t>年增加</w:t>
      </w:r>
      <w:r>
        <w:rPr>
          <w:rFonts w:hint="eastAsia" w:ascii="仿宋" w:hAnsi="仿宋" w:eastAsia="仿宋"/>
          <w:sz w:val="30"/>
          <w:szCs w:val="30"/>
          <w:lang w:val="en-US" w:eastAsia="zh-CN"/>
        </w:rPr>
        <w:t>183.66</w:t>
      </w:r>
      <w:r>
        <w:rPr>
          <w:rFonts w:hint="eastAsia" w:ascii="仿宋" w:hAnsi="仿宋" w:eastAsia="仿宋"/>
          <w:sz w:val="30"/>
          <w:szCs w:val="30"/>
        </w:rPr>
        <w:t>万元，增加</w:t>
      </w:r>
      <w:r>
        <w:rPr>
          <w:rFonts w:hint="eastAsia" w:ascii="仿宋" w:hAnsi="仿宋" w:eastAsia="仿宋"/>
          <w:sz w:val="30"/>
          <w:szCs w:val="30"/>
          <w:lang w:val="en-US" w:eastAsia="zh-CN"/>
        </w:rPr>
        <w:t>6.67</w:t>
      </w:r>
      <w:r>
        <w:rPr>
          <w:rFonts w:hint="eastAsia" w:ascii="仿宋" w:hAnsi="仿宋" w:eastAsia="仿宋"/>
          <w:sz w:val="30"/>
          <w:szCs w:val="30"/>
        </w:rPr>
        <w:t xml:space="preserve"> %，主要原因是：20</w:t>
      </w:r>
      <w:r>
        <w:rPr>
          <w:rFonts w:hint="eastAsia" w:ascii="仿宋" w:hAnsi="仿宋" w:eastAsia="仿宋"/>
          <w:sz w:val="30"/>
          <w:szCs w:val="30"/>
          <w:lang w:val="en-US" w:eastAsia="zh-CN"/>
        </w:rPr>
        <w:t>20</w:t>
      </w:r>
      <w:r>
        <w:rPr>
          <w:rFonts w:hint="eastAsia" w:ascii="仿宋" w:hAnsi="仿宋" w:eastAsia="仿宋"/>
          <w:sz w:val="30"/>
          <w:szCs w:val="30"/>
        </w:rPr>
        <w:t>年</w:t>
      </w:r>
      <w:r>
        <w:rPr>
          <w:rFonts w:hint="eastAsia" w:ascii="仿宋" w:hAnsi="仿宋" w:eastAsia="仿宋"/>
          <w:sz w:val="30"/>
          <w:szCs w:val="30"/>
          <w:lang w:eastAsia="zh-CN"/>
        </w:rPr>
        <w:t>加快</w:t>
      </w:r>
      <w:r>
        <w:rPr>
          <w:rFonts w:hint="eastAsia" w:ascii="仿宋" w:hAnsi="仿宋" w:eastAsia="仿宋"/>
          <w:sz w:val="30"/>
          <w:szCs w:val="30"/>
        </w:rPr>
        <w:t>项目资金支出；年末结转和结余</w:t>
      </w:r>
      <w:r>
        <w:rPr>
          <w:rFonts w:hint="eastAsia" w:ascii="仿宋" w:hAnsi="仿宋" w:eastAsia="仿宋"/>
          <w:sz w:val="30"/>
          <w:szCs w:val="30"/>
          <w:lang w:val="en-US" w:eastAsia="zh-CN"/>
        </w:rPr>
        <w:t>947.38</w:t>
      </w:r>
      <w:r>
        <w:rPr>
          <w:rFonts w:hint="eastAsia" w:ascii="仿宋" w:hAnsi="仿宋" w:eastAsia="仿宋"/>
          <w:sz w:val="30"/>
          <w:szCs w:val="30"/>
        </w:rPr>
        <w:t>万元，较201</w:t>
      </w:r>
      <w:r>
        <w:rPr>
          <w:rFonts w:hint="eastAsia" w:ascii="仿宋" w:hAnsi="仿宋" w:eastAsia="仿宋"/>
          <w:sz w:val="30"/>
          <w:szCs w:val="30"/>
          <w:lang w:val="en-US" w:eastAsia="zh-CN"/>
        </w:rPr>
        <w:t>9</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511.2</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35.04</w:t>
      </w:r>
      <w:r>
        <w:rPr>
          <w:rFonts w:hint="eastAsia" w:ascii="仿宋" w:hAnsi="仿宋" w:eastAsia="仿宋"/>
          <w:sz w:val="30"/>
          <w:szCs w:val="30"/>
        </w:rPr>
        <w:t>%，主要原因是：</w:t>
      </w:r>
      <w:r>
        <w:rPr>
          <w:rFonts w:hint="eastAsia" w:ascii="仿宋" w:hAnsi="仿宋" w:eastAsia="仿宋"/>
          <w:sz w:val="30"/>
          <w:szCs w:val="30"/>
          <w:lang w:eastAsia="zh-CN"/>
        </w:rPr>
        <w:t>加快</w:t>
      </w:r>
      <w:r>
        <w:rPr>
          <w:rFonts w:hint="eastAsia" w:ascii="仿宋" w:hAnsi="仿宋" w:eastAsia="仿宋"/>
          <w:sz w:val="30"/>
          <w:szCs w:val="30"/>
        </w:rPr>
        <w:t>口岸建设资金</w:t>
      </w:r>
      <w:r>
        <w:rPr>
          <w:rFonts w:hint="eastAsia" w:ascii="仿宋" w:hAnsi="仿宋" w:eastAsia="仿宋"/>
          <w:sz w:val="30"/>
          <w:szCs w:val="30"/>
          <w:lang w:eastAsia="zh-CN"/>
        </w:rPr>
        <w:t>使用</w:t>
      </w:r>
      <w:r>
        <w:rPr>
          <w:rFonts w:hint="eastAsia" w:ascii="仿宋" w:hAnsi="仿宋" w:eastAsia="仿宋"/>
          <w:sz w:val="30"/>
          <w:szCs w:val="30"/>
        </w:rPr>
        <w:t>。</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本年支出的具体构成为：基本支出1336.22万元，占</w:t>
      </w:r>
      <w:r>
        <w:rPr>
          <w:rFonts w:hint="eastAsia" w:ascii="仿宋" w:hAnsi="仿宋" w:eastAsia="仿宋"/>
          <w:sz w:val="30"/>
          <w:szCs w:val="30"/>
          <w:lang w:val="en-US" w:eastAsia="zh-CN"/>
        </w:rPr>
        <w:t>45.51</w:t>
      </w:r>
      <w:r>
        <w:rPr>
          <w:rFonts w:hint="eastAsia" w:ascii="仿宋" w:hAnsi="仿宋" w:eastAsia="仿宋"/>
          <w:sz w:val="30"/>
          <w:szCs w:val="30"/>
        </w:rPr>
        <w:t>%；项目支出1599.74万元，占</w:t>
      </w:r>
      <w:r>
        <w:rPr>
          <w:rFonts w:hint="eastAsia" w:ascii="仿宋" w:hAnsi="仿宋" w:eastAsia="仿宋"/>
          <w:sz w:val="30"/>
          <w:szCs w:val="30"/>
          <w:lang w:val="en-US" w:eastAsia="zh-CN"/>
        </w:rPr>
        <w:t>54.49</w:t>
      </w:r>
      <w:r>
        <w:rPr>
          <w:rFonts w:hint="eastAsia" w:ascii="仿宋" w:hAnsi="仿宋" w:eastAsia="仿宋"/>
          <w:sz w:val="30"/>
          <w:szCs w:val="30"/>
        </w:rPr>
        <w:t>%；经营支出 0万元，占0 %；其他支出（对附属单位补助支出、上缴上级支出）  0 万元，占0 %。</w:t>
      </w: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三、财政拨款支出决算情况说明</w:t>
      </w:r>
    </w:p>
    <w:p>
      <w:pPr>
        <w:spacing w:line="560" w:lineRule="exact"/>
        <w:ind w:firstLine="600" w:firstLineChars="200"/>
        <w:jc w:val="left"/>
        <w:rPr>
          <w:rFonts w:ascii="仿宋" w:hAnsi="仿宋" w:eastAsia="仿宋"/>
          <w:sz w:val="30"/>
          <w:szCs w:val="30"/>
          <w:highlight w:val="none"/>
        </w:rPr>
      </w:pPr>
      <w:r>
        <w:rPr>
          <w:rFonts w:hint="eastAsia" w:ascii="仿宋" w:hAnsi="仿宋" w:eastAsia="仿宋"/>
          <w:sz w:val="30"/>
          <w:szCs w:val="30"/>
          <w:highlight w:val="none"/>
        </w:rPr>
        <w:t>本部门2</w:t>
      </w:r>
      <w:r>
        <w:rPr>
          <w:rFonts w:hint="eastAsia" w:ascii="仿宋" w:hAnsi="仿宋" w:eastAsia="仿宋"/>
          <w:sz w:val="30"/>
          <w:szCs w:val="30"/>
          <w:highlight w:val="none"/>
          <w:lang w:val="en-US" w:eastAsia="zh-CN"/>
        </w:rPr>
        <w:t>020</w:t>
      </w:r>
      <w:r>
        <w:rPr>
          <w:rFonts w:hint="eastAsia" w:ascii="仿宋" w:hAnsi="仿宋" w:eastAsia="仿宋"/>
          <w:sz w:val="30"/>
          <w:szCs w:val="30"/>
          <w:highlight w:val="none"/>
        </w:rPr>
        <w:t>年度财政拨款本年支出年初预算数为</w:t>
      </w:r>
      <w:r>
        <w:rPr>
          <w:rFonts w:hint="default" w:ascii="仿宋" w:hAnsi="仿宋" w:eastAsia="仿宋"/>
          <w:sz w:val="30"/>
          <w:szCs w:val="30"/>
          <w:highlight w:val="none"/>
          <w:lang w:val="en"/>
        </w:rPr>
        <w:t>2392.67</w:t>
      </w:r>
      <w:r>
        <w:rPr>
          <w:rFonts w:hint="eastAsia" w:ascii="仿宋" w:hAnsi="仿宋" w:eastAsia="仿宋"/>
          <w:sz w:val="30"/>
          <w:szCs w:val="30"/>
          <w:highlight w:val="none"/>
          <w:lang w:val="en" w:eastAsia="zh-CN"/>
        </w:rPr>
        <w:t>万元，</w:t>
      </w:r>
      <w:r>
        <w:rPr>
          <w:rFonts w:hint="eastAsia" w:ascii="仿宋" w:hAnsi="仿宋" w:eastAsia="仿宋"/>
          <w:sz w:val="30"/>
          <w:szCs w:val="30"/>
          <w:highlight w:val="none"/>
        </w:rPr>
        <w:t>决算数为</w:t>
      </w:r>
      <w:r>
        <w:rPr>
          <w:rFonts w:hint="eastAsia" w:ascii="仿宋" w:hAnsi="仿宋" w:eastAsia="仿宋"/>
          <w:sz w:val="30"/>
          <w:szCs w:val="30"/>
          <w:highlight w:val="none"/>
          <w:lang w:val="en-US" w:eastAsia="zh-CN"/>
        </w:rPr>
        <w:t>3883.33</w:t>
      </w:r>
      <w:r>
        <w:rPr>
          <w:rFonts w:hint="eastAsia" w:ascii="仿宋" w:hAnsi="仿宋" w:eastAsia="仿宋"/>
          <w:sz w:val="30"/>
          <w:szCs w:val="30"/>
          <w:highlight w:val="none"/>
        </w:rPr>
        <w:t>万元，完成年初预算的</w:t>
      </w:r>
      <w:r>
        <w:rPr>
          <w:rFonts w:hint="eastAsia" w:ascii="仿宋" w:hAnsi="仿宋" w:eastAsia="仿宋"/>
          <w:sz w:val="30"/>
          <w:szCs w:val="30"/>
          <w:highlight w:val="none"/>
          <w:lang w:val="en-US" w:eastAsia="zh-CN"/>
        </w:rPr>
        <w:t>162.3</w:t>
      </w:r>
      <w:r>
        <w:rPr>
          <w:rFonts w:hint="eastAsia" w:ascii="仿宋" w:hAnsi="仿宋" w:eastAsia="仿宋"/>
          <w:sz w:val="30"/>
          <w:szCs w:val="30"/>
          <w:highlight w:val="none"/>
        </w:rPr>
        <w:t>%。其中：</w:t>
      </w:r>
    </w:p>
    <w:p>
      <w:pPr>
        <w:numPr>
          <w:ilvl w:val="0"/>
          <w:numId w:val="2"/>
        </w:numPr>
        <w:spacing w:line="560" w:lineRule="exact"/>
        <w:ind w:firstLine="600" w:firstLineChars="200"/>
        <w:jc w:val="left"/>
        <w:rPr>
          <w:rFonts w:ascii="仿宋" w:hAnsi="仿宋" w:eastAsia="仿宋"/>
          <w:sz w:val="30"/>
          <w:szCs w:val="30"/>
        </w:rPr>
      </w:pPr>
      <w:r>
        <w:rPr>
          <w:rFonts w:hint="eastAsia" w:ascii="仿宋" w:hAnsi="仿宋" w:eastAsia="仿宋"/>
          <w:sz w:val="30"/>
          <w:szCs w:val="30"/>
          <w:highlight w:val="none"/>
        </w:rPr>
        <w:t>一般公共服务支出年初预算数为1069.71万元，决算数为  1485.18万元，完</w:t>
      </w:r>
      <w:r>
        <w:rPr>
          <w:rFonts w:hint="eastAsia" w:ascii="仿宋" w:hAnsi="仿宋" w:eastAsia="仿宋"/>
          <w:sz w:val="30"/>
          <w:szCs w:val="30"/>
        </w:rPr>
        <w:t>成年初预算的</w:t>
      </w:r>
      <w:r>
        <w:rPr>
          <w:rFonts w:hint="eastAsia" w:ascii="仿宋" w:hAnsi="仿宋" w:eastAsia="仿宋"/>
          <w:sz w:val="30"/>
          <w:szCs w:val="30"/>
          <w:lang w:val="en-US" w:eastAsia="zh-CN"/>
        </w:rPr>
        <w:t>138.8</w:t>
      </w:r>
      <w:r>
        <w:rPr>
          <w:rFonts w:hint="eastAsia" w:ascii="仿宋" w:hAnsi="仿宋" w:eastAsia="仿宋"/>
          <w:sz w:val="30"/>
          <w:szCs w:val="30"/>
        </w:rPr>
        <w:t>%，主要原因是：</w:t>
      </w:r>
      <w:r>
        <w:rPr>
          <w:rFonts w:hint="eastAsia" w:ascii="仿宋" w:hAnsi="仿宋" w:eastAsia="仿宋"/>
          <w:sz w:val="30"/>
          <w:szCs w:val="30"/>
          <w:lang w:eastAsia="zh-CN"/>
        </w:rPr>
        <w:t>增加海关事务支出和开放型经济招商活动经费等</w:t>
      </w:r>
      <w:r>
        <w:rPr>
          <w:rFonts w:hint="eastAsia" w:ascii="仿宋" w:hAnsi="仿宋" w:eastAsia="仿宋"/>
          <w:sz w:val="30"/>
          <w:szCs w:val="30"/>
        </w:rPr>
        <w:t>。</w:t>
      </w:r>
    </w:p>
    <w:p>
      <w:pPr>
        <w:numPr>
          <w:ilvl w:val="0"/>
          <w:numId w:val="2"/>
        </w:numPr>
        <w:spacing w:line="560" w:lineRule="exact"/>
        <w:ind w:firstLine="600" w:firstLineChars="200"/>
        <w:jc w:val="left"/>
        <w:rPr>
          <w:rFonts w:ascii="仿宋" w:hAnsi="仿宋" w:eastAsia="仿宋"/>
          <w:sz w:val="30"/>
          <w:szCs w:val="30"/>
        </w:rPr>
      </w:pPr>
      <w:r>
        <w:rPr>
          <w:rFonts w:hint="eastAsia" w:ascii="仿宋" w:hAnsi="仿宋" w:eastAsia="仿宋"/>
          <w:sz w:val="30"/>
          <w:szCs w:val="30"/>
        </w:rPr>
        <w:t>社会保障和就业支出年初预算数为198.51万元，决算数为298.64万元，完成年初预算的</w:t>
      </w:r>
      <w:r>
        <w:rPr>
          <w:rFonts w:hint="eastAsia" w:ascii="仿宋" w:hAnsi="仿宋" w:eastAsia="仿宋"/>
          <w:sz w:val="30"/>
          <w:szCs w:val="30"/>
          <w:lang w:val="en-US" w:eastAsia="zh-CN"/>
        </w:rPr>
        <w:t>150.41</w:t>
      </w:r>
      <w:r>
        <w:rPr>
          <w:rFonts w:hint="eastAsia" w:ascii="仿宋" w:hAnsi="仿宋" w:eastAsia="仿宋"/>
          <w:sz w:val="30"/>
          <w:szCs w:val="30"/>
        </w:rPr>
        <w:t>%，主要原因是离退休人员死亡抚恤</w:t>
      </w:r>
      <w:r>
        <w:rPr>
          <w:rFonts w:hint="eastAsia" w:ascii="仿宋" w:hAnsi="仿宋" w:eastAsia="仿宋"/>
          <w:sz w:val="30"/>
          <w:szCs w:val="30"/>
          <w:lang w:eastAsia="zh-CN"/>
        </w:rPr>
        <w:t>和机关事业单位职业年金单位缴费</w:t>
      </w:r>
      <w:r>
        <w:rPr>
          <w:rFonts w:hint="eastAsia" w:ascii="仿宋" w:hAnsi="仿宋" w:eastAsia="仿宋"/>
          <w:sz w:val="30"/>
          <w:szCs w:val="30"/>
        </w:rPr>
        <w:t>。</w:t>
      </w:r>
    </w:p>
    <w:p>
      <w:pPr>
        <w:numPr>
          <w:ilvl w:val="0"/>
          <w:numId w:val="2"/>
        </w:numPr>
        <w:spacing w:line="560" w:lineRule="exact"/>
        <w:ind w:firstLine="600" w:firstLineChars="200"/>
        <w:jc w:val="left"/>
        <w:rPr>
          <w:rFonts w:ascii="仿宋" w:hAnsi="仿宋" w:eastAsia="仿宋"/>
          <w:sz w:val="30"/>
          <w:szCs w:val="30"/>
        </w:rPr>
      </w:pPr>
      <w:r>
        <w:rPr>
          <w:rFonts w:hint="eastAsia" w:ascii="仿宋" w:hAnsi="仿宋" w:eastAsia="仿宋"/>
          <w:sz w:val="30"/>
          <w:szCs w:val="30"/>
        </w:rPr>
        <w:t>卫生健康支出年初预算数为136.03 万元，决算数136.75万元，完成年初预算的10</w:t>
      </w:r>
      <w:r>
        <w:rPr>
          <w:rFonts w:hint="eastAsia" w:ascii="仿宋" w:hAnsi="仿宋" w:eastAsia="仿宋"/>
          <w:sz w:val="30"/>
          <w:szCs w:val="30"/>
          <w:lang w:val="en-US" w:eastAsia="zh-CN"/>
        </w:rPr>
        <w:t>0.52</w:t>
      </w:r>
      <w:r>
        <w:rPr>
          <w:rFonts w:hint="eastAsia" w:ascii="仿宋" w:hAnsi="仿宋" w:eastAsia="仿宋"/>
          <w:sz w:val="30"/>
          <w:szCs w:val="30"/>
        </w:rPr>
        <w:t>%，主要原因是</w:t>
      </w:r>
      <w:r>
        <w:rPr>
          <w:rFonts w:hint="eastAsia" w:ascii="仿宋" w:hAnsi="仿宋" w:eastAsia="仿宋"/>
          <w:sz w:val="30"/>
          <w:szCs w:val="30"/>
          <w:lang w:eastAsia="zh-CN"/>
        </w:rPr>
        <w:t>人员变动</w:t>
      </w:r>
      <w:r>
        <w:rPr>
          <w:rFonts w:hint="eastAsia" w:ascii="仿宋" w:hAnsi="仿宋" w:eastAsia="仿宋"/>
          <w:sz w:val="30"/>
          <w:szCs w:val="30"/>
        </w:rPr>
        <w:t>。</w:t>
      </w:r>
    </w:p>
    <w:p>
      <w:pPr>
        <w:numPr>
          <w:ilvl w:val="0"/>
          <w:numId w:val="2"/>
        </w:num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住房保障支出年初预算数为56.3万元，决算数为58.84万元，完成年初预算的</w:t>
      </w:r>
      <w:r>
        <w:rPr>
          <w:rFonts w:hint="eastAsia" w:ascii="仿宋" w:hAnsi="仿宋" w:eastAsia="仿宋"/>
          <w:sz w:val="30"/>
          <w:szCs w:val="30"/>
          <w:lang w:val="en-US" w:eastAsia="zh-CN"/>
        </w:rPr>
        <w:t>104.51</w:t>
      </w:r>
      <w:r>
        <w:rPr>
          <w:rFonts w:hint="eastAsia" w:ascii="仿宋" w:hAnsi="仿宋" w:eastAsia="仿宋"/>
          <w:sz w:val="30"/>
          <w:szCs w:val="30"/>
        </w:rPr>
        <w:t>%，主要原因是人员变动和公积金缴费基数调整。</w:t>
      </w:r>
    </w:p>
    <w:p>
      <w:pPr>
        <w:numPr>
          <w:ilvl w:val="0"/>
          <w:numId w:val="2"/>
        </w:numPr>
        <w:spacing w:line="560" w:lineRule="exact"/>
        <w:ind w:firstLine="600" w:firstLineChars="200"/>
        <w:jc w:val="left"/>
        <w:rPr>
          <w:rFonts w:ascii="仿宋" w:hAnsi="仿宋" w:eastAsia="仿宋"/>
          <w:sz w:val="30"/>
          <w:szCs w:val="30"/>
        </w:rPr>
      </w:pPr>
      <w:r>
        <w:rPr>
          <w:rFonts w:hint="eastAsia" w:ascii="仿宋" w:hAnsi="仿宋" w:eastAsia="仿宋"/>
          <w:sz w:val="30"/>
          <w:szCs w:val="30"/>
        </w:rPr>
        <w:t>商业服务业等支出年初预算数为152万元，决算数为 237.42万元，完成年初预算的</w:t>
      </w:r>
      <w:r>
        <w:rPr>
          <w:rFonts w:hint="eastAsia" w:ascii="仿宋" w:hAnsi="仿宋" w:eastAsia="仿宋"/>
          <w:sz w:val="30"/>
          <w:szCs w:val="30"/>
          <w:lang w:val="en-US" w:eastAsia="zh-CN"/>
        </w:rPr>
        <w:t>156.19</w:t>
      </w:r>
      <w:r>
        <w:rPr>
          <w:rFonts w:hint="eastAsia" w:ascii="仿宋" w:hAnsi="仿宋" w:eastAsia="仿宋"/>
          <w:sz w:val="30"/>
          <w:szCs w:val="30"/>
        </w:rPr>
        <w:t>%，主要原因是</w:t>
      </w:r>
      <w:r>
        <w:rPr>
          <w:rFonts w:hint="eastAsia" w:ascii="仿宋" w:hAnsi="仿宋" w:eastAsia="仿宋"/>
          <w:sz w:val="30"/>
          <w:szCs w:val="30"/>
          <w:lang w:eastAsia="zh-CN"/>
        </w:rPr>
        <w:t>包括新增的上下级政府间转移性支出</w:t>
      </w:r>
      <w:r>
        <w:rPr>
          <w:rFonts w:hint="eastAsia" w:ascii="仿宋" w:hAnsi="仿宋" w:eastAsia="仿宋"/>
          <w:sz w:val="30"/>
          <w:szCs w:val="30"/>
        </w:rPr>
        <w:t>。</w:t>
      </w:r>
    </w:p>
    <w:p>
      <w:pPr>
        <w:numPr>
          <w:ilvl w:val="0"/>
          <w:numId w:val="2"/>
        </w:num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交通运输支出</w:t>
      </w:r>
      <w:r>
        <w:rPr>
          <w:rFonts w:hint="eastAsia" w:ascii="仿宋" w:hAnsi="仿宋" w:eastAsia="仿宋"/>
          <w:sz w:val="30"/>
          <w:szCs w:val="30"/>
          <w:lang w:eastAsia="zh-CN"/>
        </w:rPr>
        <w:t>年初预算数为780.12万元，决算数为719.12万元，</w:t>
      </w:r>
      <w:r>
        <w:rPr>
          <w:rFonts w:hint="eastAsia" w:ascii="仿宋" w:hAnsi="仿宋" w:eastAsia="仿宋"/>
          <w:sz w:val="30"/>
          <w:szCs w:val="30"/>
        </w:rPr>
        <w:t>完成年初预算的</w:t>
      </w:r>
      <w:r>
        <w:rPr>
          <w:rFonts w:hint="eastAsia" w:ascii="仿宋" w:hAnsi="仿宋" w:eastAsia="仿宋"/>
          <w:sz w:val="30"/>
          <w:szCs w:val="30"/>
          <w:lang w:val="en-US" w:eastAsia="zh-CN"/>
        </w:rPr>
        <w:t>92.18</w:t>
      </w:r>
      <w:r>
        <w:rPr>
          <w:rFonts w:hint="eastAsia" w:ascii="仿宋" w:hAnsi="仿宋" w:eastAsia="仿宋"/>
          <w:sz w:val="30"/>
          <w:szCs w:val="30"/>
        </w:rPr>
        <w:t>%，主要是</w:t>
      </w:r>
      <w:r>
        <w:rPr>
          <w:rFonts w:hint="eastAsia" w:ascii="仿宋" w:hAnsi="仿宋" w:eastAsia="仿宋"/>
          <w:sz w:val="30"/>
          <w:szCs w:val="30"/>
          <w:lang w:eastAsia="zh-CN"/>
        </w:rPr>
        <w:t>拨付赣州黄金机场航空口岸临时开放期间工作经费</w:t>
      </w:r>
      <w:r>
        <w:rPr>
          <w:rFonts w:hint="eastAsia" w:ascii="仿宋" w:hAnsi="仿宋" w:eastAsia="仿宋"/>
          <w:sz w:val="30"/>
          <w:szCs w:val="30"/>
        </w:rPr>
        <w:t>。</w:t>
      </w: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四、一般公共预算财政拨款基本支出决算情况说明</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本部门20</w:t>
      </w:r>
      <w:r>
        <w:rPr>
          <w:rFonts w:hint="eastAsia" w:ascii="仿宋" w:hAnsi="仿宋" w:eastAsia="仿宋"/>
          <w:sz w:val="30"/>
          <w:szCs w:val="30"/>
          <w:lang w:val="en-US" w:eastAsia="zh-CN"/>
        </w:rPr>
        <w:t>20</w:t>
      </w:r>
      <w:r>
        <w:rPr>
          <w:rFonts w:hint="eastAsia" w:ascii="仿宋" w:hAnsi="仿宋" w:eastAsia="仿宋"/>
          <w:sz w:val="30"/>
          <w:szCs w:val="30"/>
        </w:rPr>
        <w:t>年度一般公共预算财政拨款基本支出1336.22 万元，其中：</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 xml:space="preserve">（一）工资福利支出 </w:t>
      </w:r>
      <w:r>
        <w:rPr>
          <w:rFonts w:hint="eastAsia" w:ascii="仿宋" w:hAnsi="仿宋" w:eastAsia="仿宋"/>
          <w:sz w:val="30"/>
          <w:szCs w:val="30"/>
          <w:lang w:val="en-US" w:eastAsia="zh-CN"/>
        </w:rPr>
        <w:t>917.47</w:t>
      </w:r>
      <w:r>
        <w:rPr>
          <w:rFonts w:hint="eastAsia" w:ascii="仿宋" w:hAnsi="仿宋" w:eastAsia="仿宋"/>
          <w:sz w:val="30"/>
          <w:szCs w:val="30"/>
        </w:rPr>
        <w:t>万元，较201</w:t>
      </w:r>
      <w:r>
        <w:rPr>
          <w:rFonts w:hint="eastAsia" w:ascii="仿宋" w:hAnsi="仿宋" w:eastAsia="仿宋"/>
          <w:sz w:val="30"/>
          <w:szCs w:val="30"/>
          <w:lang w:val="en-US" w:eastAsia="zh-CN"/>
        </w:rPr>
        <w:t>9</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168.44</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15.51</w:t>
      </w:r>
      <w:r>
        <w:rPr>
          <w:rFonts w:hint="eastAsia" w:ascii="仿宋" w:hAnsi="仿宋" w:eastAsia="仿宋"/>
          <w:sz w:val="30"/>
          <w:szCs w:val="30"/>
        </w:rPr>
        <w:t xml:space="preserve"> %，主要原因是：</w:t>
      </w:r>
      <w:r>
        <w:rPr>
          <w:rFonts w:hint="eastAsia" w:ascii="仿宋" w:hAnsi="仿宋" w:eastAsia="仿宋"/>
          <w:sz w:val="30"/>
          <w:szCs w:val="30"/>
          <w:lang w:eastAsia="zh-CN"/>
        </w:rPr>
        <w:t>机构改革划转人员</w:t>
      </w:r>
      <w:r>
        <w:rPr>
          <w:rFonts w:hint="eastAsia" w:ascii="仿宋" w:hAnsi="仿宋" w:eastAsia="仿宋"/>
          <w:sz w:val="30"/>
          <w:szCs w:val="30"/>
        </w:rPr>
        <w:t>。</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（二）商品和服务支出172.3万元，较201</w:t>
      </w:r>
      <w:r>
        <w:rPr>
          <w:rFonts w:hint="eastAsia" w:ascii="仿宋" w:hAnsi="仿宋" w:eastAsia="仿宋"/>
          <w:sz w:val="30"/>
          <w:szCs w:val="30"/>
          <w:lang w:val="en-US" w:eastAsia="zh-CN"/>
        </w:rPr>
        <w:t>9</w:t>
      </w:r>
      <w:r>
        <w:rPr>
          <w:rFonts w:hint="eastAsia" w:ascii="仿宋" w:hAnsi="仿宋" w:eastAsia="仿宋"/>
          <w:sz w:val="30"/>
          <w:szCs w:val="30"/>
        </w:rPr>
        <w:t>年减少</w:t>
      </w:r>
      <w:r>
        <w:rPr>
          <w:rFonts w:hint="eastAsia" w:ascii="仿宋" w:hAnsi="仿宋" w:eastAsia="仿宋"/>
          <w:sz w:val="30"/>
          <w:szCs w:val="30"/>
          <w:lang w:val="en-US" w:eastAsia="zh-CN"/>
        </w:rPr>
        <w:t>211.22</w:t>
      </w:r>
      <w:r>
        <w:rPr>
          <w:rFonts w:hint="eastAsia" w:ascii="仿宋" w:hAnsi="仿宋" w:eastAsia="仿宋"/>
          <w:sz w:val="30"/>
          <w:szCs w:val="30"/>
        </w:rPr>
        <w:t>万元，下降</w:t>
      </w:r>
      <w:r>
        <w:rPr>
          <w:rFonts w:hint="eastAsia" w:ascii="仿宋" w:hAnsi="仿宋" w:eastAsia="仿宋"/>
          <w:sz w:val="30"/>
          <w:szCs w:val="30"/>
          <w:lang w:val="en-US" w:eastAsia="zh-CN"/>
        </w:rPr>
        <w:t>55.07</w:t>
      </w:r>
      <w:r>
        <w:rPr>
          <w:rFonts w:hint="eastAsia" w:ascii="仿宋" w:hAnsi="仿宋" w:eastAsia="仿宋"/>
          <w:sz w:val="30"/>
          <w:szCs w:val="30"/>
        </w:rPr>
        <w:t xml:space="preserve"> %，主要原因是： </w:t>
      </w:r>
      <w:r>
        <w:rPr>
          <w:rFonts w:hint="eastAsia" w:ascii="仿宋" w:hAnsi="仿宋" w:eastAsia="仿宋"/>
          <w:sz w:val="30"/>
          <w:szCs w:val="30"/>
          <w:lang w:eastAsia="zh-CN"/>
        </w:rPr>
        <w:t>疫情影响，缩减</w:t>
      </w:r>
      <w:r>
        <w:rPr>
          <w:rFonts w:hint="eastAsia" w:ascii="仿宋" w:hAnsi="仿宋" w:eastAsia="仿宋"/>
          <w:sz w:val="30"/>
          <w:szCs w:val="30"/>
        </w:rPr>
        <w:t>经费支出。</w:t>
      </w:r>
    </w:p>
    <w:p>
      <w:pPr>
        <w:spacing w:line="560" w:lineRule="exact"/>
        <w:ind w:firstLine="600" w:firstLineChars="200"/>
        <w:jc w:val="left"/>
        <w:rPr>
          <w:rFonts w:hint="eastAsia" w:ascii="仿宋" w:hAnsi="仿宋" w:eastAsia="仿宋"/>
          <w:sz w:val="30"/>
          <w:szCs w:val="30"/>
        </w:rPr>
      </w:pPr>
      <w:r>
        <w:rPr>
          <w:rFonts w:hint="eastAsia" w:ascii="仿宋" w:hAnsi="仿宋" w:eastAsia="仿宋"/>
          <w:sz w:val="30"/>
          <w:szCs w:val="30"/>
        </w:rPr>
        <w:t>（三）对个人和家庭补助支出243.92 万元，较201</w:t>
      </w:r>
      <w:r>
        <w:rPr>
          <w:rFonts w:hint="eastAsia" w:ascii="仿宋" w:hAnsi="仿宋" w:eastAsia="仿宋"/>
          <w:sz w:val="30"/>
          <w:szCs w:val="30"/>
          <w:lang w:val="en-US" w:eastAsia="zh-CN"/>
        </w:rPr>
        <w:t>9</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17.06</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6.5</w:t>
      </w:r>
      <w:r>
        <w:rPr>
          <w:rFonts w:hint="eastAsia" w:ascii="仿宋" w:hAnsi="仿宋" w:eastAsia="仿宋"/>
          <w:sz w:val="30"/>
          <w:szCs w:val="30"/>
        </w:rPr>
        <w:t>%，主要原因是：离退休人员自然减员</w:t>
      </w:r>
      <w:r>
        <w:rPr>
          <w:rFonts w:hint="eastAsia" w:ascii="仿宋" w:hAnsi="仿宋" w:eastAsia="仿宋"/>
          <w:sz w:val="30"/>
          <w:szCs w:val="30"/>
          <w:lang w:eastAsia="zh-CN"/>
        </w:rPr>
        <w:t>及</w:t>
      </w:r>
      <w:r>
        <w:rPr>
          <w:rFonts w:hint="eastAsia" w:ascii="仿宋" w:hAnsi="仿宋" w:eastAsia="仿宋"/>
          <w:sz w:val="30"/>
          <w:szCs w:val="30"/>
        </w:rPr>
        <w:t>发放抚恤金。</w:t>
      </w:r>
    </w:p>
    <w:p>
      <w:pPr>
        <w:spacing w:line="560" w:lineRule="exact"/>
        <w:ind w:firstLine="600" w:firstLineChars="200"/>
        <w:jc w:val="left"/>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eastAsia="zh-CN"/>
        </w:rPr>
        <w:t>四</w:t>
      </w:r>
      <w:r>
        <w:rPr>
          <w:rFonts w:hint="eastAsia" w:ascii="仿宋" w:hAnsi="仿宋" w:eastAsia="仿宋"/>
          <w:sz w:val="30"/>
          <w:szCs w:val="30"/>
        </w:rPr>
        <w:t>）资本性支出</w:t>
      </w:r>
      <w:r>
        <w:rPr>
          <w:rFonts w:hint="eastAsia" w:ascii="仿宋" w:hAnsi="仿宋" w:eastAsia="仿宋"/>
          <w:sz w:val="30"/>
          <w:szCs w:val="30"/>
          <w:lang w:val="en-US" w:eastAsia="zh-CN"/>
        </w:rPr>
        <w:t>2.52</w:t>
      </w:r>
      <w:r>
        <w:rPr>
          <w:rFonts w:hint="eastAsia" w:ascii="仿宋" w:hAnsi="仿宋" w:eastAsia="仿宋"/>
          <w:sz w:val="30"/>
          <w:szCs w:val="30"/>
        </w:rPr>
        <w:t>万元，较201</w:t>
      </w:r>
      <w:r>
        <w:rPr>
          <w:rFonts w:hint="eastAsia" w:ascii="仿宋" w:hAnsi="仿宋" w:eastAsia="仿宋"/>
          <w:sz w:val="30"/>
          <w:szCs w:val="30"/>
          <w:lang w:val="en-US" w:eastAsia="zh-CN"/>
        </w:rPr>
        <w:t>9</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2.52</w:t>
      </w:r>
      <w:r>
        <w:rPr>
          <w:rFonts w:hint="eastAsia" w:ascii="仿宋" w:hAnsi="仿宋" w:eastAsia="仿宋"/>
          <w:sz w:val="30"/>
          <w:szCs w:val="30"/>
        </w:rPr>
        <w:t>万元，</w:t>
      </w:r>
      <w:r>
        <w:rPr>
          <w:rFonts w:hint="eastAsia" w:ascii="仿宋" w:hAnsi="仿宋" w:eastAsia="仿宋"/>
          <w:sz w:val="30"/>
          <w:szCs w:val="30"/>
          <w:lang w:eastAsia="zh-CN"/>
        </w:rPr>
        <w:t>增加</w:t>
      </w:r>
      <w:r>
        <w:rPr>
          <w:rFonts w:hint="eastAsia" w:ascii="仿宋" w:hAnsi="仿宋" w:eastAsia="仿宋"/>
          <w:sz w:val="30"/>
          <w:szCs w:val="30"/>
          <w:lang w:val="en-US" w:eastAsia="zh-CN"/>
        </w:rPr>
        <w:t>100</w:t>
      </w:r>
      <w:r>
        <w:rPr>
          <w:rFonts w:hint="eastAsia" w:ascii="仿宋" w:hAnsi="仿宋" w:eastAsia="仿宋"/>
          <w:sz w:val="30"/>
          <w:szCs w:val="30"/>
        </w:rPr>
        <w:t>%，主要原因是：</w:t>
      </w:r>
      <w:r>
        <w:rPr>
          <w:rFonts w:hint="eastAsia" w:ascii="仿宋" w:hAnsi="仿宋" w:eastAsia="仿宋"/>
          <w:sz w:val="30"/>
          <w:szCs w:val="30"/>
          <w:lang w:eastAsia="zh-CN"/>
        </w:rPr>
        <w:t>增加采购办公设备</w:t>
      </w:r>
      <w:r>
        <w:rPr>
          <w:rFonts w:hint="eastAsia" w:ascii="仿宋" w:hAnsi="仿宋" w:eastAsia="仿宋"/>
          <w:sz w:val="30"/>
          <w:szCs w:val="30"/>
        </w:rPr>
        <w:t>。</w:t>
      </w: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五、“三公”经费支出决算情况说明</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本部门20</w:t>
      </w:r>
      <w:r>
        <w:rPr>
          <w:rFonts w:hint="eastAsia" w:ascii="仿宋" w:hAnsi="仿宋" w:eastAsia="仿宋"/>
          <w:sz w:val="30"/>
          <w:szCs w:val="30"/>
          <w:lang w:val="en-US" w:eastAsia="zh-CN"/>
        </w:rPr>
        <w:t>20</w:t>
      </w:r>
      <w:r>
        <w:rPr>
          <w:rFonts w:hint="eastAsia" w:ascii="仿宋" w:hAnsi="仿宋" w:eastAsia="仿宋"/>
          <w:sz w:val="30"/>
          <w:szCs w:val="30"/>
        </w:rPr>
        <w:t>年度“三公”经费支出年初预算数为88.33万元，决算数为16.98万元，完成预算的</w:t>
      </w:r>
      <w:r>
        <w:rPr>
          <w:rFonts w:hint="eastAsia" w:ascii="仿宋" w:hAnsi="仿宋" w:eastAsia="仿宋"/>
          <w:sz w:val="30"/>
          <w:szCs w:val="30"/>
          <w:lang w:val="en-US" w:eastAsia="zh-CN"/>
        </w:rPr>
        <w:t>19.22</w:t>
      </w:r>
      <w:r>
        <w:rPr>
          <w:rFonts w:hint="eastAsia" w:ascii="仿宋" w:hAnsi="仿宋" w:eastAsia="仿宋"/>
          <w:sz w:val="30"/>
          <w:szCs w:val="30"/>
        </w:rPr>
        <w:t>%，决算数较201</w:t>
      </w:r>
      <w:r>
        <w:rPr>
          <w:rFonts w:hint="eastAsia" w:ascii="仿宋" w:hAnsi="仿宋" w:eastAsia="仿宋"/>
          <w:sz w:val="30"/>
          <w:szCs w:val="30"/>
          <w:lang w:val="en-US" w:eastAsia="zh-CN"/>
        </w:rPr>
        <w:t>9</w:t>
      </w:r>
      <w:r>
        <w:rPr>
          <w:rFonts w:hint="eastAsia" w:ascii="仿宋" w:hAnsi="仿宋" w:eastAsia="仿宋"/>
          <w:sz w:val="30"/>
          <w:szCs w:val="30"/>
        </w:rPr>
        <w:t>年减少</w:t>
      </w:r>
      <w:r>
        <w:rPr>
          <w:rFonts w:hint="eastAsia" w:ascii="仿宋" w:hAnsi="仿宋" w:eastAsia="仿宋"/>
          <w:sz w:val="30"/>
          <w:szCs w:val="30"/>
          <w:lang w:val="en-US" w:eastAsia="zh-CN"/>
        </w:rPr>
        <w:t>47.83</w:t>
      </w:r>
      <w:r>
        <w:rPr>
          <w:rFonts w:hint="eastAsia" w:ascii="仿宋" w:hAnsi="仿宋" w:eastAsia="仿宋"/>
          <w:sz w:val="30"/>
          <w:szCs w:val="30"/>
        </w:rPr>
        <w:t>万元，下降</w:t>
      </w:r>
      <w:r>
        <w:rPr>
          <w:rFonts w:hint="eastAsia" w:ascii="仿宋" w:hAnsi="仿宋" w:eastAsia="仿宋"/>
          <w:sz w:val="30"/>
          <w:szCs w:val="30"/>
          <w:lang w:val="en-US" w:eastAsia="zh-CN"/>
        </w:rPr>
        <w:t>73.8</w:t>
      </w:r>
      <w:r>
        <w:rPr>
          <w:rFonts w:hint="eastAsia" w:ascii="仿宋" w:hAnsi="仿宋" w:eastAsia="仿宋"/>
          <w:sz w:val="30"/>
          <w:szCs w:val="30"/>
        </w:rPr>
        <w:t>%，其中：</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（一）因公出国（境）支出年初预算数为14.23万元，决算数为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w:t>
      </w:r>
      <w:r>
        <w:rPr>
          <w:rFonts w:hint="eastAsia" w:ascii="仿宋" w:hAnsi="仿宋" w:eastAsia="仿宋"/>
          <w:sz w:val="30"/>
          <w:szCs w:val="30"/>
          <w:lang w:val="en-US" w:eastAsia="zh-CN"/>
        </w:rPr>
        <w:t>9</w:t>
      </w:r>
      <w:r>
        <w:rPr>
          <w:rFonts w:hint="eastAsia" w:ascii="仿宋" w:hAnsi="仿宋" w:eastAsia="仿宋"/>
          <w:sz w:val="30"/>
          <w:szCs w:val="30"/>
        </w:rPr>
        <w:t>年减少</w:t>
      </w:r>
      <w:r>
        <w:rPr>
          <w:rFonts w:hint="eastAsia" w:ascii="仿宋" w:hAnsi="仿宋" w:eastAsia="仿宋"/>
          <w:sz w:val="30"/>
          <w:szCs w:val="30"/>
          <w:lang w:val="en-US" w:eastAsia="zh-CN"/>
        </w:rPr>
        <w:t>6.38</w:t>
      </w:r>
      <w:r>
        <w:rPr>
          <w:rFonts w:hint="eastAsia" w:ascii="仿宋" w:hAnsi="仿宋" w:eastAsia="仿宋"/>
          <w:sz w:val="30"/>
          <w:szCs w:val="30"/>
        </w:rPr>
        <w:t>万元，下降</w:t>
      </w:r>
      <w:r>
        <w:rPr>
          <w:rFonts w:hint="eastAsia" w:ascii="仿宋" w:hAnsi="仿宋" w:eastAsia="仿宋"/>
          <w:sz w:val="30"/>
          <w:szCs w:val="30"/>
          <w:lang w:val="en-US" w:eastAsia="zh-CN"/>
        </w:rPr>
        <w:t>100</w:t>
      </w:r>
      <w:r>
        <w:rPr>
          <w:rFonts w:hint="eastAsia" w:ascii="仿宋" w:hAnsi="仿宋" w:eastAsia="仿宋"/>
          <w:sz w:val="30"/>
          <w:szCs w:val="30"/>
        </w:rPr>
        <w:t>%。决算数较年初预算数减少的主要原因是：</w:t>
      </w:r>
      <w:r>
        <w:rPr>
          <w:rFonts w:hint="eastAsia" w:ascii="仿宋" w:hAnsi="仿宋" w:eastAsia="仿宋"/>
          <w:sz w:val="30"/>
          <w:szCs w:val="30"/>
          <w:lang w:eastAsia="zh-CN"/>
        </w:rPr>
        <w:t>受疫情影响，没有</w:t>
      </w:r>
      <w:r>
        <w:rPr>
          <w:rFonts w:hint="eastAsia" w:ascii="仿宋" w:hAnsi="仿宋" w:eastAsia="仿宋"/>
          <w:sz w:val="30"/>
          <w:szCs w:val="30"/>
        </w:rPr>
        <w:t>因公出国（境）</w:t>
      </w:r>
      <w:r>
        <w:rPr>
          <w:rFonts w:hint="eastAsia" w:ascii="仿宋" w:hAnsi="仿宋" w:eastAsia="仿宋"/>
          <w:sz w:val="30"/>
          <w:szCs w:val="30"/>
          <w:lang w:eastAsia="zh-CN"/>
        </w:rPr>
        <w:t>开支</w:t>
      </w:r>
      <w:r>
        <w:rPr>
          <w:rFonts w:hint="eastAsia" w:ascii="仿宋" w:hAnsi="仿宋" w:eastAsia="仿宋"/>
          <w:sz w:val="30"/>
          <w:szCs w:val="30"/>
        </w:rPr>
        <w:t>。</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（二）公务接待费支出年初预算数为74.1万元，决算数为16.98万元，完成预算</w:t>
      </w:r>
      <w:r>
        <w:rPr>
          <w:rFonts w:hint="eastAsia" w:ascii="仿宋" w:hAnsi="仿宋" w:eastAsia="仿宋"/>
          <w:sz w:val="30"/>
          <w:szCs w:val="30"/>
          <w:lang w:val="en-US" w:eastAsia="zh-CN"/>
        </w:rPr>
        <w:t>22.91</w:t>
      </w:r>
      <w:r>
        <w:rPr>
          <w:rFonts w:hint="eastAsia" w:ascii="仿宋" w:hAnsi="仿宋" w:eastAsia="仿宋"/>
          <w:sz w:val="30"/>
          <w:szCs w:val="30"/>
        </w:rPr>
        <w:t>%，决算数较201</w:t>
      </w:r>
      <w:r>
        <w:rPr>
          <w:rFonts w:hint="eastAsia" w:ascii="仿宋" w:hAnsi="仿宋" w:eastAsia="仿宋"/>
          <w:sz w:val="30"/>
          <w:szCs w:val="30"/>
          <w:lang w:val="en-US" w:eastAsia="zh-CN"/>
        </w:rPr>
        <w:t>9</w:t>
      </w:r>
      <w:r>
        <w:rPr>
          <w:rFonts w:hint="eastAsia" w:ascii="仿宋" w:hAnsi="仿宋" w:eastAsia="仿宋"/>
          <w:sz w:val="30"/>
          <w:szCs w:val="30"/>
        </w:rPr>
        <w:t>年减少</w:t>
      </w:r>
      <w:r>
        <w:rPr>
          <w:rFonts w:hint="eastAsia" w:ascii="仿宋" w:hAnsi="仿宋" w:eastAsia="仿宋"/>
          <w:sz w:val="30"/>
          <w:szCs w:val="30"/>
          <w:lang w:val="en-US" w:eastAsia="zh-CN"/>
        </w:rPr>
        <w:t>41.45</w:t>
      </w:r>
      <w:r>
        <w:rPr>
          <w:rFonts w:hint="eastAsia" w:ascii="仿宋" w:hAnsi="仿宋" w:eastAsia="仿宋"/>
          <w:sz w:val="30"/>
          <w:szCs w:val="30"/>
        </w:rPr>
        <w:t xml:space="preserve">万元，下降 </w:t>
      </w:r>
      <w:r>
        <w:rPr>
          <w:rFonts w:hint="eastAsia" w:ascii="仿宋" w:hAnsi="仿宋" w:eastAsia="仿宋"/>
          <w:sz w:val="30"/>
          <w:szCs w:val="30"/>
          <w:lang w:val="en-US" w:eastAsia="zh-CN"/>
        </w:rPr>
        <w:t>70.93</w:t>
      </w:r>
      <w:r>
        <w:rPr>
          <w:rFonts w:hint="eastAsia" w:ascii="仿宋" w:hAnsi="仿宋" w:eastAsia="仿宋"/>
          <w:sz w:val="30"/>
          <w:szCs w:val="30"/>
        </w:rPr>
        <w:t>%。决算数较年初预算数减少的主要原因是：</w:t>
      </w:r>
      <w:r>
        <w:rPr>
          <w:rFonts w:hint="eastAsia" w:ascii="仿宋" w:hAnsi="仿宋" w:eastAsia="仿宋"/>
          <w:sz w:val="30"/>
          <w:szCs w:val="30"/>
          <w:lang w:eastAsia="zh-CN"/>
        </w:rPr>
        <w:t>受疫情影响，公务接待活动大幅度减少</w:t>
      </w:r>
      <w:r>
        <w:rPr>
          <w:rFonts w:hint="eastAsia" w:ascii="仿宋" w:hAnsi="仿宋" w:eastAsia="仿宋"/>
          <w:sz w:val="30"/>
          <w:szCs w:val="30"/>
        </w:rPr>
        <w:t>。</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（三）公务用车购置及运行维护费支出 0万元，其中公务用车购置年初预算数为 0万元，决算数为 0万元，完成预算的0 %，决算数较201</w:t>
      </w:r>
      <w:r>
        <w:rPr>
          <w:rFonts w:hint="eastAsia" w:ascii="仿宋" w:hAnsi="仿宋" w:eastAsia="仿宋"/>
          <w:sz w:val="30"/>
          <w:szCs w:val="30"/>
          <w:lang w:val="en-US" w:eastAsia="zh-CN"/>
        </w:rPr>
        <w:t>9</w:t>
      </w:r>
      <w:r>
        <w:rPr>
          <w:rFonts w:hint="eastAsia" w:ascii="仿宋" w:hAnsi="仿宋" w:eastAsia="仿宋"/>
          <w:sz w:val="30"/>
          <w:szCs w:val="30"/>
        </w:rPr>
        <w:t>年增加（减少） 0万元，增长（下降）0%。决算数较年初预算数增加（减少）的主要原因是：所有公务用车进行了改革；公务用车运行维护费支出年初预算数为0万元，决算数为0 万元，完成预算的0%，决算数较2017年增加（减少）0万元，增长（下降）0%。决算数较年初预算数增加（减少）的主要原因是：所有公务用车进行了改革。</w:t>
      </w: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六、机关运行经费支出情况说明</w:t>
      </w:r>
    </w:p>
    <w:p>
      <w:pPr>
        <w:spacing w:line="560" w:lineRule="exact"/>
        <w:ind w:firstLine="600" w:firstLineChars="200"/>
        <w:jc w:val="left"/>
        <w:rPr>
          <w:rFonts w:hint="eastAsia" w:ascii="仿宋" w:hAnsi="仿宋" w:eastAsia="仿宋"/>
          <w:sz w:val="30"/>
          <w:szCs w:val="30"/>
          <w:highlight w:val="none"/>
        </w:rPr>
      </w:pPr>
      <w:r>
        <w:rPr>
          <w:rFonts w:hint="eastAsia" w:ascii="仿宋" w:hAnsi="仿宋" w:eastAsia="仿宋"/>
          <w:sz w:val="30"/>
          <w:szCs w:val="30"/>
          <w:highlight w:val="none"/>
        </w:rPr>
        <w:t>本部门20</w:t>
      </w:r>
      <w:r>
        <w:rPr>
          <w:rFonts w:hint="eastAsia" w:ascii="仿宋" w:hAnsi="仿宋" w:eastAsia="仿宋"/>
          <w:sz w:val="30"/>
          <w:szCs w:val="30"/>
          <w:highlight w:val="none"/>
          <w:lang w:val="en-US" w:eastAsia="zh-CN"/>
        </w:rPr>
        <w:t>20</w:t>
      </w:r>
      <w:r>
        <w:rPr>
          <w:rFonts w:hint="eastAsia" w:ascii="仿宋" w:hAnsi="仿宋" w:eastAsia="仿宋"/>
          <w:sz w:val="30"/>
          <w:szCs w:val="30"/>
          <w:highlight w:val="none"/>
        </w:rPr>
        <w:t>年度机关运行经费支出174.82万元（与部门决算中行政单位和参照公务员法管理事业单位一般公共预算财政拨款基本支出中公用经费之和保持一致），较年初预算数增加</w:t>
      </w:r>
      <w:r>
        <w:rPr>
          <w:rFonts w:hint="eastAsia" w:ascii="仿宋" w:hAnsi="仿宋" w:eastAsia="仿宋"/>
          <w:sz w:val="30"/>
          <w:szCs w:val="30"/>
          <w:highlight w:val="none"/>
          <w:lang w:val="en-US" w:eastAsia="zh-CN"/>
        </w:rPr>
        <w:t>9.35</w:t>
      </w:r>
      <w:r>
        <w:rPr>
          <w:rFonts w:hint="eastAsia" w:ascii="仿宋" w:hAnsi="仿宋" w:eastAsia="仿宋"/>
          <w:sz w:val="30"/>
          <w:szCs w:val="30"/>
          <w:highlight w:val="none"/>
        </w:rPr>
        <w:t>万元，增长</w:t>
      </w:r>
      <w:r>
        <w:rPr>
          <w:rFonts w:hint="eastAsia" w:ascii="仿宋" w:hAnsi="仿宋" w:eastAsia="仿宋"/>
          <w:sz w:val="30"/>
          <w:szCs w:val="30"/>
          <w:highlight w:val="none"/>
          <w:lang w:val="en-US" w:eastAsia="zh-CN"/>
        </w:rPr>
        <w:t>5.6</w:t>
      </w:r>
      <w:r>
        <w:rPr>
          <w:rFonts w:hint="eastAsia" w:ascii="仿宋" w:hAnsi="仿宋" w:eastAsia="仿宋"/>
          <w:sz w:val="30"/>
          <w:szCs w:val="30"/>
          <w:highlight w:val="none"/>
        </w:rPr>
        <w:t xml:space="preserve"> %，主要原因是：运行经费中包括招商推荐活动产生的差旅费</w:t>
      </w:r>
      <w:r>
        <w:rPr>
          <w:rFonts w:hint="eastAsia" w:ascii="仿宋" w:hAnsi="仿宋" w:eastAsia="仿宋"/>
          <w:sz w:val="30"/>
          <w:szCs w:val="30"/>
          <w:highlight w:val="none"/>
          <w:lang w:eastAsia="zh-CN"/>
        </w:rPr>
        <w:t>和其他交通费</w:t>
      </w:r>
      <w:r>
        <w:rPr>
          <w:rFonts w:hint="eastAsia" w:ascii="仿宋" w:hAnsi="仿宋" w:eastAsia="仿宋"/>
          <w:sz w:val="30"/>
          <w:szCs w:val="30"/>
          <w:highlight w:val="none"/>
        </w:rPr>
        <w:t>。20</w:t>
      </w:r>
      <w:r>
        <w:rPr>
          <w:rFonts w:hint="eastAsia" w:ascii="仿宋" w:hAnsi="仿宋" w:eastAsia="仿宋"/>
          <w:sz w:val="30"/>
          <w:szCs w:val="30"/>
          <w:highlight w:val="none"/>
          <w:lang w:val="en-US" w:eastAsia="zh-CN"/>
        </w:rPr>
        <w:t>20</w:t>
      </w:r>
      <w:r>
        <w:rPr>
          <w:rFonts w:hint="eastAsia" w:ascii="仿宋" w:hAnsi="仿宋" w:eastAsia="仿宋"/>
          <w:sz w:val="30"/>
          <w:szCs w:val="30"/>
          <w:highlight w:val="none"/>
        </w:rPr>
        <w:t>年度机关运行经费较201</w:t>
      </w:r>
      <w:r>
        <w:rPr>
          <w:rFonts w:hint="eastAsia" w:ascii="仿宋" w:hAnsi="仿宋" w:eastAsia="仿宋"/>
          <w:sz w:val="30"/>
          <w:szCs w:val="30"/>
          <w:highlight w:val="none"/>
          <w:lang w:val="en-US" w:eastAsia="zh-CN"/>
        </w:rPr>
        <w:t>9</w:t>
      </w:r>
      <w:r>
        <w:rPr>
          <w:rFonts w:hint="eastAsia" w:ascii="仿宋" w:hAnsi="仿宋" w:eastAsia="仿宋"/>
          <w:sz w:val="30"/>
          <w:szCs w:val="30"/>
          <w:highlight w:val="none"/>
        </w:rPr>
        <w:t>年减少</w:t>
      </w:r>
      <w:r>
        <w:rPr>
          <w:rFonts w:hint="eastAsia" w:ascii="仿宋" w:hAnsi="仿宋" w:eastAsia="仿宋"/>
          <w:sz w:val="30"/>
          <w:szCs w:val="30"/>
          <w:highlight w:val="none"/>
          <w:lang w:val="en-US" w:eastAsia="zh-CN"/>
        </w:rPr>
        <w:t>208.7</w:t>
      </w:r>
      <w:r>
        <w:rPr>
          <w:rFonts w:hint="eastAsia" w:ascii="仿宋" w:hAnsi="仿宋" w:eastAsia="仿宋"/>
          <w:sz w:val="30"/>
          <w:szCs w:val="30"/>
          <w:highlight w:val="none"/>
        </w:rPr>
        <w:t>万元，下降</w:t>
      </w:r>
      <w:r>
        <w:rPr>
          <w:rFonts w:hint="eastAsia" w:ascii="仿宋" w:hAnsi="仿宋" w:eastAsia="仿宋"/>
          <w:sz w:val="30"/>
          <w:szCs w:val="30"/>
          <w:highlight w:val="none"/>
          <w:lang w:val="en-US" w:eastAsia="zh-CN"/>
        </w:rPr>
        <w:t>54.41</w:t>
      </w:r>
      <w:r>
        <w:rPr>
          <w:rFonts w:hint="eastAsia" w:ascii="仿宋" w:hAnsi="仿宋" w:eastAsia="仿宋"/>
          <w:sz w:val="30"/>
          <w:szCs w:val="30"/>
          <w:highlight w:val="none"/>
        </w:rPr>
        <w:t xml:space="preserve"> %，主要原因是：贯彻落实中央八项规定</w:t>
      </w:r>
      <w:bookmarkStart w:id="0" w:name="_GoBack"/>
      <w:bookmarkEnd w:id="0"/>
      <w:r>
        <w:rPr>
          <w:rFonts w:hint="eastAsia" w:ascii="仿宋" w:hAnsi="仿宋" w:eastAsia="仿宋"/>
          <w:sz w:val="30"/>
          <w:szCs w:val="30"/>
          <w:highlight w:val="none"/>
        </w:rPr>
        <w:t>精神和厉行节约的要求，</w:t>
      </w:r>
      <w:r>
        <w:rPr>
          <w:rFonts w:hint="eastAsia" w:ascii="仿宋" w:hAnsi="仿宋" w:eastAsia="仿宋"/>
          <w:sz w:val="30"/>
          <w:szCs w:val="30"/>
          <w:highlight w:val="none"/>
          <w:lang w:eastAsia="zh-CN"/>
        </w:rPr>
        <w:t>受疫情影响减少招商推介活动，</w:t>
      </w:r>
      <w:r>
        <w:rPr>
          <w:rFonts w:hint="eastAsia" w:ascii="仿宋" w:hAnsi="仿宋" w:eastAsia="仿宋"/>
          <w:sz w:val="30"/>
          <w:szCs w:val="30"/>
          <w:highlight w:val="none"/>
        </w:rPr>
        <w:t>落实过紧日子要求压减办公经费支出。</w:t>
      </w:r>
    </w:p>
    <w:p>
      <w:pPr>
        <w:spacing w:line="560" w:lineRule="exact"/>
        <w:ind w:firstLine="600" w:firstLineChars="200"/>
        <w:jc w:val="left"/>
        <w:rPr>
          <w:rFonts w:hint="eastAsia" w:ascii="仿宋" w:hAnsi="仿宋" w:eastAsia="仿宋"/>
          <w:sz w:val="30"/>
          <w:szCs w:val="30"/>
        </w:rPr>
      </w:pPr>
      <w:r>
        <w:rPr>
          <w:rFonts w:hint="eastAsia" w:ascii="仿宋" w:hAnsi="仿宋" w:eastAsia="仿宋"/>
          <w:sz w:val="30"/>
          <w:szCs w:val="30"/>
        </w:rPr>
        <w:t>人员编制数量减少</w:t>
      </w:r>
      <w:r>
        <w:rPr>
          <w:rFonts w:hint="eastAsia" w:ascii="仿宋" w:hAnsi="仿宋" w:eastAsia="仿宋"/>
          <w:sz w:val="30"/>
          <w:szCs w:val="30"/>
          <w:lang w:eastAsia="zh-CN"/>
        </w:rPr>
        <w:t>、</w:t>
      </w:r>
    </w:p>
    <w:p>
      <w:pPr>
        <w:spacing w:line="560" w:lineRule="exact"/>
        <w:ind w:firstLine="600" w:firstLineChars="200"/>
        <w:jc w:val="left"/>
        <w:rPr>
          <w:rFonts w:hint="eastAsia" w:ascii="仿宋" w:hAnsi="仿宋" w:eastAsia="仿宋"/>
          <w:sz w:val="30"/>
          <w:szCs w:val="30"/>
          <w:highlight w:val="none"/>
        </w:rPr>
      </w:pPr>
      <w:r>
        <w:rPr>
          <w:rFonts w:hint="eastAsia" w:ascii="仿宋" w:hAnsi="仿宋" w:eastAsia="仿宋"/>
          <w:sz w:val="30"/>
          <w:szCs w:val="30"/>
          <w:highlight w:val="none"/>
        </w:rPr>
        <w:t>七、政府采购支出情况说明</w:t>
      </w:r>
    </w:p>
    <w:p>
      <w:pPr>
        <w:pStyle w:val="7"/>
        <w:spacing w:line="560" w:lineRule="exact"/>
        <w:ind w:firstLine="600" w:firstLineChars="200"/>
        <w:rPr>
          <w:rFonts w:ascii="仿宋" w:hAnsi="仿宋" w:eastAsia="仿宋"/>
          <w:sz w:val="30"/>
          <w:szCs w:val="30"/>
        </w:rPr>
      </w:pPr>
      <w:r>
        <w:rPr>
          <w:rFonts w:hint="eastAsia" w:ascii="仿宋" w:hAnsi="仿宋" w:eastAsia="仿宋"/>
          <w:sz w:val="30"/>
          <w:szCs w:val="30"/>
        </w:rPr>
        <w:t>本部门20</w:t>
      </w:r>
      <w:r>
        <w:rPr>
          <w:rFonts w:hint="eastAsia" w:ascii="仿宋" w:hAnsi="仿宋" w:eastAsia="仿宋"/>
          <w:sz w:val="30"/>
          <w:szCs w:val="30"/>
          <w:lang w:val="en-US" w:eastAsia="zh-CN"/>
        </w:rPr>
        <w:t>20</w:t>
      </w:r>
      <w:r>
        <w:rPr>
          <w:rFonts w:hint="eastAsia" w:ascii="仿宋" w:hAnsi="仿宋" w:eastAsia="仿宋"/>
          <w:sz w:val="30"/>
          <w:szCs w:val="30"/>
        </w:rPr>
        <w:t>年度政府采购支出总额</w:t>
      </w:r>
      <w:r>
        <w:rPr>
          <w:rFonts w:hint="eastAsia" w:ascii="仿宋" w:hAnsi="仿宋" w:eastAsia="仿宋"/>
          <w:sz w:val="30"/>
          <w:szCs w:val="30"/>
          <w:lang w:val="en-US" w:eastAsia="zh-CN"/>
        </w:rPr>
        <w:t>140.47</w:t>
      </w:r>
      <w:r>
        <w:rPr>
          <w:rFonts w:hint="eastAsia" w:ascii="仿宋" w:hAnsi="仿宋" w:eastAsia="仿宋"/>
          <w:sz w:val="30"/>
          <w:szCs w:val="30"/>
        </w:rPr>
        <w:t>万元，其中：政府采购货物支出0万元、政府采购工程支出0万元、政府采购服务支出</w:t>
      </w:r>
      <w:r>
        <w:rPr>
          <w:rFonts w:hint="eastAsia" w:ascii="仿宋" w:hAnsi="仿宋" w:eastAsia="仿宋"/>
          <w:sz w:val="30"/>
          <w:szCs w:val="30"/>
          <w:lang w:val="en-US" w:eastAsia="zh-CN"/>
        </w:rPr>
        <w:t>140.47</w:t>
      </w:r>
      <w:r>
        <w:rPr>
          <w:rFonts w:hint="eastAsia" w:ascii="仿宋" w:hAnsi="仿宋" w:eastAsia="仿宋"/>
          <w:sz w:val="30"/>
          <w:szCs w:val="30"/>
        </w:rPr>
        <w:t>万元。授予中小企业合同金额0万元，占政府采购支出总额的0%，其中：授予小微企业合同金额0万元，占政府采购支出总额的0%。</w:t>
      </w:r>
    </w:p>
    <w:p>
      <w:pPr>
        <w:spacing w:line="560" w:lineRule="exact"/>
        <w:ind w:firstLine="600" w:firstLineChars="200"/>
        <w:jc w:val="left"/>
        <w:rPr>
          <w:rFonts w:ascii="黑体" w:hAnsi="黑体" w:eastAsia="黑体"/>
          <w:sz w:val="30"/>
          <w:szCs w:val="30"/>
        </w:rPr>
      </w:pPr>
      <w:r>
        <w:rPr>
          <w:rFonts w:hint="eastAsia" w:ascii="黑体" w:hAnsi="黑体" w:eastAsia="黑体"/>
          <w:sz w:val="30"/>
          <w:szCs w:val="30"/>
        </w:rPr>
        <w:t>八、国有资产占用情况说明</w:t>
      </w:r>
    </w:p>
    <w:p>
      <w:pPr>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rPr>
        <w:t>截止20</w:t>
      </w:r>
      <w:r>
        <w:rPr>
          <w:rFonts w:hint="eastAsia" w:ascii="仿宋" w:hAnsi="仿宋" w:eastAsia="仿宋"/>
          <w:kern w:val="0"/>
          <w:sz w:val="30"/>
          <w:szCs w:val="30"/>
          <w:lang w:val="en-US" w:eastAsia="zh-CN"/>
        </w:rPr>
        <w:t>20</w:t>
      </w:r>
      <w:r>
        <w:rPr>
          <w:rFonts w:hint="eastAsia" w:ascii="仿宋" w:hAnsi="仿宋" w:eastAsia="仿宋"/>
          <w:kern w:val="0"/>
          <w:sz w:val="30"/>
          <w:szCs w:val="30"/>
        </w:rPr>
        <w:t>年12月31日，本部门国有资产占用情况见公开09表《国有资产占用情况表》。本部门共有车辆0辆，其中，副部（省）级及以上领导用车0辆、主要领导干部用车0辆、机要通信用车0辆、应急保障用车0辆、执法执勤用车0辆、特种专业技术用车0辆、其他用车0辆，其他用车0辆；单位价值50万元以上通用设备0台（套）；单位价值100万元以上专用设备0台（套）。</w:t>
      </w:r>
    </w:p>
    <w:p>
      <w:pPr>
        <w:spacing w:line="560" w:lineRule="exact"/>
        <w:ind w:firstLine="600" w:firstLineChars="200"/>
        <w:jc w:val="left"/>
        <w:rPr>
          <w:rFonts w:ascii="黑体" w:hAnsi="黑体" w:eastAsia="黑体"/>
          <w:sz w:val="30"/>
          <w:szCs w:val="30"/>
          <w:highlight w:val="none"/>
        </w:rPr>
      </w:pPr>
      <w:r>
        <w:rPr>
          <w:rFonts w:hint="eastAsia" w:ascii="黑体" w:hAnsi="黑体" w:eastAsia="黑体"/>
          <w:sz w:val="30"/>
          <w:szCs w:val="30"/>
          <w:highlight w:val="none"/>
        </w:rPr>
        <w:t>九、预算绩效情况说明</w:t>
      </w:r>
    </w:p>
    <w:p>
      <w:pPr>
        <w:autoSpaceDE w:val="0"/>
        <w:autoSpaceDN w:val="0"/>
        <w:adjustRightInd w:val="0"/>
        <w:spacing w:line="560" w:lineRule="exact"/>
        <w:ind w:firstLine="600" w:firstLineChars="200"/>
        <w:jc w:val="left"/>
        <w:rPr>
          <w:rFonts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pPr>
        <w:autoSpaceDE w:val="0"/>
        <w:autoSpaceDN w:val="0"/>
        <w:adjustRightInd w:val="0"/>
        <w:spacing w:line="360" w:lineRule="auto"/>
        <w:ind w:firstLine="600" w:firstLineChars="200"/>
        <w:jc w:val="left"/>
        <w:rPr>
          <w:rFonts w:ascii="仿宋" w:hAnsi="仿宋" w:eastAsia="仿宋" w:cs="仿宋_GB2312"/>
          <w:kern w:val="0"/>
          <w:sz w:val="30"/>
          <w:szCs w:val="30"/>
          <w:highlight w:val="none"/>
        </w:rPr>
      </w:pPr>
      <w:r>
        <w:rPr>
          <w:rFonts w:hint="eastAsia" w:ascii="仿宋" w:hAnsi="仿宋" w:eastAsia="仿宋" w:cs="仿宋_GB2312"/>
          <w:kern w:val="0"/>
          <w:sz w:val="30"/>
          <w:szCs w:val="30"/>
          <w:highlight w:val="none"/>
        </w:rPr>
        <w:t>根据预算绩效管理要求，我部门组织对</w:t>
      </w:r>
      <w:r>
        <w:rPr>
          <w:rFonts w:hint="eastAsia" w:ascii="仿宋" w:hAnsi="仿宋" w:eastAsia="仿宋" w:cs="仿宋_GB2312"/>
          <w:kern w:val="0"/>
          <w:sz w:val="30"/>
          <w:szCs w:val="30"/>
          <w:highlight w:val="none"/>
          <w:lang w:val="en-US" w:eastAsia="zh-CN"/>
        </w:rPr>
        <w:t>2020</w:t>
      </w:r>
      <w:r>
        <w:rPr>
          <w:rFonts w:hint="eastAsia" w:ascii="仿宋" w:hAnsi="仿宋" w:eastAsia="仿宋" w:cs="仿宋_GB2312"/>
          <w:kern w:val="0"/>
          <w:sz w:val="30"/>
          <w:szCs w:val="30"/>
          <w:highlight w:val="none"/>
        </w:rPr>
        <w:t>年度一般公共预算项目支出全面开展绩效自评，共涉及资金</w:t>
      </w:r>
      <w:r>
        <w:rPr>
          <w:rFonts w:hint="default" w:ascii="仿宋" w:hAnsi="仿宋" w:eastAsia="仿宋" w:cs="仿宋_GB2312"/>
          <w:kern w:val="0"/>
          <w:sz w:val="30"/>
          <w:szCs w:val="30"/>
          <w:highlight w:val="none"/>
          <w:lang w:val="en"/>
        </w:rPr>
        <w:t>15573.81</w:t>
      </w:r>
      <w:r>
        <w:rPr>
          <w:rFonts w:hint="eastAsia" w:ascii="仿宋" w:hAnsi="仿宋" w:eastAsia="仿宋" w:cs="仿宋_GB2312"/>
          <w:kern w:val="0"/>
          <w:sz w:val="30"/>
          <w:szCs w:val="30"/>
          <w:highlight w:val="none"/>
        </w:rPr>
        <w:t>万元，占一般公共预算项目支出总额的100%,包括由市本级直接支付的项目支出。</w:t>
      </w:r>
    </w:p>
    <w:p>
      <w:pPr>
        <w:autoSpaceDE w:val="0"/>
        <w:autoSpaceDN w:val="0"/>
        <w:adjustRightInd w:val="0"/>
        <w:spacing w:line="560" w:lineRule="exact"/>
        <w:ind w:firstLine="600" w:firstLineChars="200"/>
        <w:jc w:val="left"/>
        <w:rPr>
          <w:rFonts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600" w:firstLineChars="200"/>
        <w:jc w:val="left"/>
        <w:textAlignment w:val="auto"/>
        <w:rPr>
          <w:rFonts w:hint="eastAsia" w:ascii="仿宋" w:hAnsi="仿宋" w:eastAsia="仿宋" w:cs="仿宋_GB2312"/>
          <w:kern w:val="0"/>
          <w:sz w:val="30"/>
          <w:szCs w:val="30"/>
          <w:highlight w:val="none"/>
          <w:lang w:val="en-US" w:eastAsia="zh-CN" w:bidi="ar-SA"/>
        </w:rPr>
      </w:pPr>
      <w:r>
        <w:rPr>
          <w:rFonts w:hint="eastAsia" w:ascii="仿宋" w:hAnsi="仿宋" w:eastAsia="仿宋" w:cs="仿宋_GB2312"/>
          <w:kern w:val="0"/>
          <w:sz w:val="30"/>
          <w:szCs w:val="30"/>
          <w:highlight w:val="none"/>
          <w:lang w:val="en-US" w:eastAsia="zh-CN" w:bidi="ar-SA"/>
        </w:rPr>
        <w:t>我部门今年在市级部门决算中反映2020年度开放型经济周刊项目资金的绩效自评结果。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600" w:firstLineChars="200"/>
        <w:jc w:val="left"/>
        <w:textAlignment w:val="auto"/>
        <w:rPr>
          <w:rFonts w:hint="eastAsia" w:ascii="仿宋" w:hAnsi="仿宋" w:eastAsia="仿宋" w:cs="仿宋_GB2312"/>
          <w:kern w:val="0"/>
          <w:sz w:val="30"/>
          <w:szCs w:val="30"/>
          <w:highlight w:val="none"/>
          <w:lang w:val="en-US" w:eastAsia="zh-CN" w:bidi="ar-SA"/>
        </w:rPr>
      </w:pPr>
      <w:r>
        <w:rPr>
          <w:rFonts w:hint="eastAsia" w:ascii="仿宋" w:hAnsi="仿宋" w:eastAsia="仿宋" w:cs="仿宋_GB2312"/>
          <w:kern w:val="0"/>
          <w:sz w:val="30"/>
          <w:szCs w:val="30"/>
          <w:highlight w:val="none"/>
          <w:lang w:val="en-US" w:eastAsia="zh-CN" w:bidi="ar-SA"/>
        </w:rPr>
        <w:t>2020年度开放型经济周刊项目绩效自评综述：根据年初设定的绩效目标，2020年度开放型经济周刊项目绩效自评得分为100分。项目全年预算数为60万元，执行数为60万元，完成预算的100%。主要产出和效果：一是全年在《赣南日报》刊发《开放型经济周刊》50期；二是通过加大开放型经济宣传力度，促进我市开放型经济发展，我市荣获2020年度全省开放型经济综合先进设区市。发现的问题及原因：一是开放型经济相关信息来源渠道较窄；二是对全市开放型经济工作挖掘提炼不够。下一步改进措施：一是围绕“三大战略”“六大主攻方向”，积极宣传我市开展招大引强、稳定外贸基本盘、加快开放平台建设等情况。二是组织人员围绕开放型经济重点领域开展调研，撰写深度稿件。</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600" w:firstLineChars="200"/>
        <w:jc w:val="left"/>
        <w:textAlignment w:val="auto"/>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2020年开放型经济周刊项目绩效自评综述：全年共刊发50期，对全市开放型经济发展进行了较为全面的宣传，为全市开放型经济发展营造了良好的氛围。</w:t>
      </w:r>
    </w:p>
    <w:p>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三）部门评价项目绩效评价结果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项目概况：根据赣州市《2020年全市开放型经济工作方案》要求，进一步加大开放型经济宣传推介力度，在全市范围掀起招商引资热潮，在赣南日报设立开放型经济周刊专刊。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绩效目标：进一步提升开放型经济发展水平，推动开放型经济发展。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theme="minorBidi"/>
          <w:kern w:val="0"/>
          <w:sz w:val="30"/>
          <w:szCs w:val="30"/>
          <w:lang w:val="en-US" w:eastAsia="zh-CN" w:bidi="ar-SA"/>
        </w:rPr>
        <w:t>自评情况：2020年，全市实际利用外资21.66亿美元，增长7.65%，增幅列全省第2位；利用省外资金实际进资998.41亿元，同比增长9.1%，增幅列全省第3位；进出口总值503.03亿元，同比增长26.6%；其中出口420.61亿元，同比增长24.3%，我市获评全省2020年度开放型经济综合先进设区市。</w:t>
      </w:r>
      <w:r>
        <w:rPr>
          <w:rFonts w:hint="default" w:ascii="仿宋" w:hAnsi="仿宋" w:eastAsia="仿宋" w:cstheme="minorBidi"/>
          <w:kern w:val="0"/>
          <w:sz w:val="30"/>
          <w:szCs w:val="30"/>
          <w:lang w:val="en" w:eastAsia="zh-CN" w:bidi="ar-SA"/>
        </w:rPr>
        <w:t>开放性经济宣传周刊的绩效自评结果是优秀。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spacing w:line="560" w:lineRule="exact"/>
        <w:ind w:firstLine="420" w:firstLineChars="200"/>
      </w:pPr>
    </w:p>
    <w:p>
      <w:pPr>
        <w:widowControl/>
        <w:spacing w:line="560" w:lineRule="exact"/>
        <w:ind w:firstLine="643" w:firstLineChars="200"/>
        <w:jc w:val="center"/>
        <w:rPr>
          <w:rFonts w:ascii="宋体" w:hAnsi="宋体"/>
          <w:b/>
          <w:sz w:val="32"/>
          <w:szCs w:val="32"/>
        </w:rPr>
      </w:pPr>
      <w:r>
        <w:rPr>
          <w:rFonts w:hint="eastAsia" w:ascii="宋体" w:hAnsi="宋体"/>
          <w:b/>
          <w:sz w:val="32"/>
          <w:szCs w:val="32"/>
        </w:rPr>
        <w:t>第四部分  名词解释</w:t>
      </w:r>
    </w:p>
    <w:p>
      <w:pPr>
        <w:pStyle w:val="7"/>
        <w:spacing w:line="560" w:lineRule="exact"/>
        <w:ind w:firstLine="600" w:firstLineChars="200"/>
        <w:rPr>
          <w:rFonts w:ascii="仿宋" w:hAnsi="仿宋" w:eastAsia="仿宋"/>
          <w:sz w:val="30"/>
          <w:szCs w:val="30"/>
        </w:rPr>
      </w:pPr>
    </w:p>
    <w:p>
      <w:pPr>
        <w:spacing w:line="560" w:lineRule="exact"/>
        <w:ind w:firstLine="600" w:firstLineChars="200"/>
        <w:jc w:val="left"/>
        <w:rPr>
          <w:rFonts w:ascii="仿宋" w:hAnsi="仿宋" w:eastAsia="仿宋"/>
          <w:sz w:val="30"/>
          <w:szCs w:val="30"/>
        </w:rPr>
      </w:pPr>
      <w:r>
        <w:rPr>
          <w:rFonts w:hint="eastAsia" w:ascii="仿宋" w:hAnsi="仿宋" w:eastAsia="仿宋"/>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一、财政拨款收入：</w:t>
      </w:r>
      <w:r>
        <w:rPr>
          <w:rFonts w:ascii="仿宋" w:hAnsi="仿宋" w:eastAsia="仿宋"/>
          <w:sz w:val="30"/>
          <w:szCs w:val="30"/>
        </w:rPr>
        <w:t>指单位本年度从</w:t>
      </w:r>
      <w:r>
        <w:rPr>
          <w:rFonts w:hint="eastAsia" w:ascii="仿宋" w:hAnsi="仿宋" w:eastAsia="仿宋"/>
          <w:sz w:val="30"/>
          <w:szCs w:val="30"/>
        </w:rPr>
        <w:t>本</w:t>
      </w:r>
      <w:r>
        <w:rPr>
          <w:rFonts w:ascii="仿宋" w:hAnsi="仿宋" w:eastAsia="仿宋"/>
          <w:sz w:val="30"/>
          <w:szCs w:val="30"/>
        </w:rPr>
        <w:t>级财政部门取得的财政拨款</w:t>
      </w:r>
      <w:r>
        <w:rPr>
          <w:rFonts w:hint="eastAsia" w:ascii="仿宋" w:hAnsi="仿宋" w:eastAsia="仿宋"/>
          <w:sz w:val="30"/>
          <w:szCs w:val="30"/>
        </w:rPr>
        <w:t>，包括一般公共预算财政拨款和政府性基金预算财政拨款。</w:t>
      </w:r>
    </w:p>
    <w:p>
      <w:pPr>
        <w:spacing w:line="560" w:lineRule="exact"/>
        <w:ind w:firstLine="600" w:firstLineChars="200"/>
        <w:jc w:val="left"/>
        <w:rPr>
          <w:rFonts w:ascii="仿宋" w:hAnsi="仿宋" w:eastAsia="仿宋"/>
          <w:sz w:val="30"/>
          <w:szCs w:val="30"/>
        </w:rPr>
      </w:pPr>
      <w:r>
        <w:rPr>
          <w:rFonts w:ascii="仿宋" w:hAnsi="仿宋" w:eastAsia="仿宋"/>
          <w:sz w:val="30"/>
          <w:szCs w:val="30"/>
        </w:rPr>
        <w:t>二、上级补助收入：指事业单位从主管部门和上级单位取得的非财政补助收入。</w:t>
      </w:r>
    </w:p>
    <w:p>
      <w:pPr>
        <w:spacing w:line="560" w:lineRule="exact"/>
        <w:ind w:firstLine="600" w:firstLineChars="200"/>
        <w:jc w:val="left"/>
        <w:rPr>
          <w:rFonts w:ascii="仿宋" w:hAnsi="仿宋" w:eastAsia="仿宋"/>
          <w:sz w:val="30"/>
          <w:szCs w:val="30"/>
        </w:rPr>
      </w:pPr>
      <w:r>
        <w:rPr>
          <w:rFonts w:ascii="仿宋" w:hAnsi="仿宋" w:eastAsia="仿宋"/>
          <w:sz w:val="30"/>
          <w:szCs w:val="30"/>
        </w:rPr>
        <w:t>三、事业收入：指事业单位开展专业业务活动及其辅助活动取得的收入</w:t>
      </w:r>
      <w:r>
        <w:rPr>
          <w:rFonts w:hint="eastAsia" w:ascii="仿宋" w:hAnsi="仿宋" w:eastAsia="仿宋"/>
          <w:sz w:val="30"/>
          <w:szCs w:val="30"/>
        </w:rPr>
        <w:t>；</w:t>
      </w:r>
      <w:r>
        <w:rPr>
          <w:rFonts w:ascii="仿宋" w:hAnsi="仿宋" w:eastAsia="仿宋"/>
          <w:sz w:val="30"/>
          <w:szCs w:val="30"/>
        </w:rPr>
        <w:t>事业单位收到的财政专户实际核拨的教育收费等资金在此反映。</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四、经营收入：指事业单位在专业业务活动及其辅助活动之外开展非独立核算经营活动取得的收入。</w:t>
      </w:r>
    </w:p>
    <w:p>
      <w:pPr>
        <w:spacing w:line="560" w:lineRule="exact"/>
        <w:ind w:firstLine="600" w:firstLineChars="200"/>
        <w:jc w:val="left"/>
        <w:rPr>
          <w:rFonts w:ascii="仿宋" w:hAnsi="仿宋" w:eastAsia="仿宋"/>
          <w:sz w:val="30"/>
          <w:szCs w:val="30"/>
        </w:rPr>
      </w:pPr>
      <w:r>
        <w:rPr>
          <w:rFonts w:ascii="仿宋" w:hAnsi="仿宋" w:eastAsia="仿宋"/>
          <w:sz w:val="30"/>
          <w:szCs w:val="30"/>
        </w:rPr>
        <w:t>五、附属单位缴款：指事业单位附属独立核算单位按照有关规定上缴的收入。</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六、其他收入：指单位取得的除上述“财政拨款收入”、“事业收入”、“经营收入”</w:t>
      </w:r>
      <w:r>
        <w:rPr>
          <w:rFonts w:hint="eastAsia" w:ascii="仿宋" w:hAnsi="仿宋" w:eastAsia="仿宋"/>
          <w:sz w:val="30"/>
          <w:szCs w:val="30"/>
        </w:rPr>
        <w:t>、“附属单位缴款”</w:t>
      </w:r>
      <w:r>
        <w:rPr>
          <w:rFonts w:ascii="仿宋" w:hAnsi="仿宋" w:eastAsia="仿宋"/>
          <w:sz w:val="30"/>
          <w:szCs w:val="30"/>
        </w:rPr>
        <w:t>等以外的各项收入。</w:t>
      </w:r>
    </w:p>
    <w:p>
      <w:pPr>
        <w:spacing w:line="560" w:lineRule="exact"/>
        <w:ind w:firstLine="600" w:firstLineChars="200"/>
        <w:jc w:val="left"/>
        <w:rPr>
          <w:rFonts w:ascii="仿宋" w:hAnsi="仿宋" w:eastAsia="仿宋"/>
          <w:sz w:val="30"/>
          <w:szCs w:val="30"/>
        </w:rPr>
      </w:pPr>
      <w:r>
        <w:rPr>
          <w:rFonts w:ascii="仿宋" w:hAnsi="仿宋" w:eastAsia="仿宋"/>
          <w:sz w:val="30"/>
          <w:szCs w:val="30"/>
        </w:rPr>
        <w:t>七、用事业基金弥补收支差额：指事业单位用事业基金弥补当年收支差额的数额。</w:t>
      </w:r>
      <w:r>
        <w:rPr>
          <w:rFonts w:hint="eastAsia" w:ascii="仿宋" w:hAnsi="仿宋" w:eastAsia="仿宋"/>
          <w:sz w:val="30"/>
          <w:szCs w:val="30"/>
        </w:rPr>
        <w:t> </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八、年初结转和结余：指单位上年结转本年使用的基本支出结转、项目支出结转和结余和经营结余。</w:t>
      </w:r>
      <w:r>
        <w:rPr>
          <w:rFonts w:hint="eastAsia" w:ascii="仿宋" w:hAnsi="仿宋" w:eastAsia="仿宋"/>
          <w:sz w:val="30"/>
          <w:szCs w:val="30"/>
        </w:rPr>
        <w:t> </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九</w:t>
      </w:r>
      <w:r>
        <w:rPr>
          <w:rFonts w:ascii="仿宋" w:hAnsi="仿宋" w:eastAsia="仿宋"/>
          <w:sz w:val="30"/>
          <w:szCs w:val="30"/>
        </w:rPr>
        <w:t>、结余分配：指事业单位按规定对非财政补助结余资金提取的职工福利基金、事业基金和缴纳的所得税，以及减少单位按规定应缴回的基本建设竣工项目结余资金。</w:t>
      </w:r>
      <w:r>
        <w:rPr>
          <w:rFonts w:hint="eastAsia" w:ascii="仿宋" w:hAnsi="仿宋" w:eastAsia="仿宋"/>
          <w:sz w:val="30"/>
          <w:szCs w:val="30"/>
        </w:rPr>
        <w:t> </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十、年末结转和结余资金：</w:t>
      </w:r>
      <w:r>
        <w:rPr>
          <w:rFonts w:hint="eastAsia" w:ascii="仿宋" w:hAnsi="仿宋" w:eastAsia="仿宋"/>
          <w:sz w:val="30"/>
          <w:szCs w:val="30"/>
        </w:rPr>
        <w:t>指单位结转下年的基本支出结转、项目支出结转和结余和经营结余。</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一</w:t>
      </w:r>
      <w:r>
        <w:rPr>
          <w:rFonts w:ascii="仿宋" w:hAnsi="仿宋" w:eastAsia="仿宋"/>
          <w:sz w:val="30"/>
          <w:szCs w:val="30"/>
        </w:rPr>
        <w:t>、基本支出：指为保障机构正常运转、完成日常工作任务而发生的人员支出和公用支出。</w:t>
      </w:r>
      <w:r>
        <w:rPr>
          <w:rFonts w:hint="eastAsia" w:ascii="仿宋" w:hAnsi="仿宋" w:eastAsia="仿宋"/>
          <w:sz w:val="30"/>
          <w:szCs w:val="30"/>
        </w:rPr>
        <w:t> </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二</w:t>
      </w:r>
      <w:r>
        <w:rPr>
          <w:rFonts w:ascii="仿宋" w:hAnsi="仿宋" w:eastAsia="仿宋"/>
          <w:sz w:val="30"/>
          <w:szCs w:val="30"/>
        </w:rPr>
        <w:t>、项目支出：指在基本支出之外为完成特定的行政任务或事业发展目标所发生的支出。</w:t>
      </w:r>
      <w:r>
        <w:rPr>
          <w:rFonts w:hint="eastAsia" w:ascii="仿宋" w:hAnsi="仿宋" w:eastAsia="仿宋"/>
          <w:sz w:val="30"/>
          <w:szCs w:val="30"/>
        </w:rPr>
        <w:t> </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三</w:t>
      </w:r>
      <w:r>
        <w:rPr>
          <w:rFonts w:ascii="仿宋" w:hAnsi="仿宋" w:eastAsia="仿宋"/>
          <w:sz w:val="30"/>
          <w:szCs w:val="30"/>
        </w:rPr>
        <w:t>、上缴上级支出：指事业单位按照财政部门和主管部门的规定上缴上级单位的支出。</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四</w:t>
      </w:r>
      <w:r>
        <w:rPr>
          <w:rFonts w:ascii="仿宋" w:hAnsi="仿宋" w:eastAsia="仿宋"/>
          <w:sz w:val="30"/>
          <w:szCs w:val="30"/>
        </w:rPr>
        <w:t>、经营支出：指事业单位在专业业务活动及其辅助活动之外开展非独立核算经营活动发生的支出。</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五</w:t>
      </w:r>
      <w:r>
        <w:rPr>
          <w:rFonts w:ascii="仿宋" w:hAnsi="仿宋" w:eastAsia="仿宋"/>
          <w:sz w:val="30"/>
          <w:szCs w:val="30"/>
        </w:rPr>
        <w:t>、对附属单位补助支出：指事业单位用财政补助收入之外的收入对附属单位补助发生的支出。</w:t>
      </w:r>
    </w:p>
    <w:p>
      <w:pPr>
        <w:spacing w:line="560" w:lineRule="exact"/>
        <w:ind w:firstLine="600" w:firstLineChars="200"/>
        <w:jc w:val="left"/>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六</w:t>
      </w:r>
      <w:r>
        <w:rPr>
          <w:rFonts w:ascii="仿宋" w:hAnsi="仿宋" w:eastAsia="仿宋"/>
          <w:sz w:val="30"/>
          <w:szCs w:val="30"/>
        </w:rPr>
        <w:t>、“三公”经费：指</w:t>
      </w:r>
      <w:r>
        <w:rPr>
          <w:rFonts w:hint="eastAsia" w:ascii="仿宋" w:hAnsi="仿宋" w:eastAsia="仿宋"/>
          <w:sz w:val="30"/>
          <w:szCs w:val="30"/>
        </w:rPr>
        <w:t>各</w:t>
      </w:r>
      <w:r>
        <w:rPr>
          <w:rFonts w:ascii="仿宋" w:hAnsi="仿宋" w:eastAsia="仿宋"/>
          <w:sz w:val="30"/>
          <w:szCs w:val="30"/>
        </w:rPr>
        <w:t>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hint="eastAsia" w:ascii="仿宋" w:hAnsi="仿宋" w:eastAsia="仿宋"/>
          <w:sz w:val="30"/>
          <w:szCs w:val="30"/>
        </w:rPr>
        <w:t> </w:t>
      </w:r>
    </w:p>
    <w:p>
      <w:pPr>
        <w:spacing w:line="560" w:lineRule="exact"/>
        <w:ind w:firstLine="600" w:firstLineChars="200"/>
      </w:pPr>
      <w:r>
        <w:rPr>
          <w:rFonts w:ascii="仿宋" w:hAnsi="仿宋" w:eastAsia="仿宋"/>
          <w:sz w:val="30"/>
          <w:szCs w:val="30"/>
        </w:rPr>
        <w:t>十</w:t>
      </w:r>
      <w:r>
        <w:rPr>
          <w:rFonts w:hint="eastAsia" w:ascii="仿宋" w:hAnsi="仿宋" w:eastAsia="仿宋"/>
          <w:sz w:val="30"/>
          <w:szCs w:val="30"/>
        </w:rPr>
        <w:t>七</w:t>
      </w:r>
      <w:r>
        <w:rPr>
          <w:rFonts w:ascii="仿宋" w:hAnsi="仿宋" w:eastAsia="仿宋"/>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w:t>
      </w:r>
    </w:p>
    <w:p>
      <w:pPr>
        <w:spacing w:line="560" w:lineRule="exact"/>
        <w:ind w:firstLine="420" w:firstLineChars="200"/>
      </w:pPr>
    </w:p>
    <w:sectPr>
      <w:pgSz w:w="11906" w:h="16838"/>
      <w:pgMar w:top="1440" w:right="148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1AB64"/>
    <w:multiLevelType w:val="singleLevel"/>
    <w:tmpl w:val="CEF1AB64"/>
    <w:lvl w:ilvl="0" w:tentative="0">
      <w:start w:val="8"/>
      <w:numFmt w:val="chineseCounting"/>
      <w:suff w:val="nothing"/>
      <w:lvlText w:val="%1、"/>
      <w:lvlJc w:val="left"/>
      <w:pPr>
        <w:ind w:left="1280" w:firstLine="0"/>
      </w:pPr>
      <w:rPr>
        <w:rFonts w:hint="eastAsia"/>
      </w:rPr>
    </w:lvl>
  </w:abstractNum>
  <w:abstractNum w:abstractNumId="1">
    <w:nsid w:val="F95AFE0C"/>
    <w:multiLevelType w:val="singleLevel"/>
    <w:tmpl w:val="F95AFE0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czZTlmMDA3NGQyODJjOGNhZjU0ODUxZTcyZWI3YzcifQ=="/>
  </w:docVars>
  <w:rsids>
    <w:rsidRoot w:val="3C850E68"/>
    <w:rsid w:val="001A4F33"/>
    <w:rsid w:val="001E032A"/>
    <w:rsid w:val="002819BA"/>
    <w:rsid w:val="00357D15"/>
    <w:rsid w:val="00496FB2"/>
    <w:rsid w:val="004C00E9"/>
    <w:rsid w:val="005E3997"/>
    <w:rsid w:val="0064370D"/>
    <w:rsid w:val="006B7AE2"/>
    <w:rsid w:val="006C176F"/>
    <w:rsid w:val="0071446D"/>
    <w:rsid w:val="007A064C"/>
    <w:rsid w:val="007A6DC2"/>
    <w:rsid w:val="007C6CB5"/>
    <w:rsid w:val="007F3710"/>
    <w:rsid w:val="00803A85"/>
    <w:rsid w:val="00827277"/>
    <w:rsid w:val="0087591A"/>
    <w:rsid w:val="00913ED7"/>
    <w:rsid w:val="00934969"/>
    <w:rsid w:val="009654F6"/>
    <w:rsid w:val="009A3C56"/>
    <w:rsid w:val="009D16CB"/>
    <w:rsid w:val="00B2516B"/>
    <w:rsid w:val="00B306EA"/>
    <w:rsid w:val="00B63E1C"/>
    <w:rsid w:val="00C44B1C"/>
    <w:rsid w:val="00C84EE1"/>
    <w:rsid w:val="00E033B2"/>
    <w:rsid w:val="00E44156"/>
    <w:rsid w:val="00EB3D00"/>
    <w:rsid w:val="00ED00EE"/>
    <w:rsid w:val="00FD13B0"/>
    <w:rsid w:val="00FE3188"/>
    <w:rsid w:val="01C73B26"/>
    <w:rsid w:val="163A2327"/>
    <w:rsid w:val="17915BA2"/>
    <w:rsid w:val="1C874ED1"/>
    <w:rsid w:val="1E792A18"/>
    <w:rsid w:val="238963D3"/>
    <w:rsid w:val="2EEFD6EC"/>
    <w:rsid w:val="32522B07"/>
    <w:rsid w:val="37BB8701"/>
    <w:rsid w:val="3C850E68"/>
    <w:rsid w:val="3DEA7A4C"/>
    <w:rsid w:val="3F9508CC"/>
    <w:rsid w:val="3FB57C2D"/>
    <w:rsid w:val="473A256F"/>
    <w:rsid w:val="4EA444D9"/>
    <w:rsid w:val="54E1B7A9"/>
    <w:rsid w:val="5A886B58"/>
    <w:rsid w:val="5B001493"/>
    <w:rsid w:val="61D46155"/>
    <w:rsid w:val="67F6A0C8"/>
    <w:rsid w:val="6B2D269F"/>
    <w:rsid w:val="6CD7A674"/>
    <w:rsid w:val="6F6E0392"/>
    <w:rsid w:val="6FA02918"/>
    <w:rsid w:val="6FFDB572"/>
    <w:rsid w:val="73EF6ACA"/>
    <w:rsid w:val="7B354BF3"/>
    <w:rsid w:val="7D5F9C7B"/>
    <w:rsid w:val="7FCF35E6"/>
    <w:rsid w:val="7FFF47C5"/>
    <w:rsid w:val="9EFC1B2F"/>
    <w:rsid w:val="9FD7102D"/>
    <w:rsid w:val="B1791AE9"/>
    <w:rsid w:val="BBEDB7AB"/>
    <w:rsid w:val="BFDEB790"/>
    <w:rsid w:val="BFEF91B3"/>
    <w:rsid w:val="DFDD39EE"/>
    <w:rsid w:val="EFFD1F1D"/>
    <w:rsid w:val="EFFECE30"/>
    <w:rsid w:val="F72F69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7">
    <w:name w:val="p0"/>
    <w:basedOn w:val="1"/>
    <w:autoRedefine/>
    <w:qFormat/>
    <w:uiPriority w:val="0"/>
    <w:pPr>
      <w:widowControl/>
    </w:pPr>
    <w:rPr>
      <w:kern w:val="0"/>
      <w:szCs w:val="21"/>
    </w:rPr>
  </w:style>
  <w:style w:type="character" w:customStyle="1" w:styleId="8">
    <w:name w:val="页眉 Char"/>
    <w:basedOn w:val="6"/>
    <w:link w:val="3"/>
    <w:autoRedefine/>
    <w:qFormat/>
    <w:uiPriority w:val="0"/>
    <w:rPr>
      <w:rFonts w:asciiTheme="minorHAnsi" w:hAnsiTheme="minorHAnsi" w:eastAsiaTheme="minorEastAsia" w:cstheme="minorBidi"/>
      <w:kern w:val="2"/>
      <w:sz w:val="18"/>
      <w:szCs w:val="18"/>
    </w:rPr>
  </w:style>
  <w:style w:type="character" w:customStyle="1" w:styleId="9">
    <w:name w:val="页脚 Char"/>
    <w:basedOn w:val="6"/>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13</Pages>
  <Words>978</Words>
  <Characters>5579</Characters>
  <Lines>46</Lines>
  <Paragraphs>13</Paragraphs>
  <TotalTime>1</TotalTime>
  <ScaleCrop>false</ScaleCrop>
  <LinksUpToDate>false</LinksUpToDate>
  <CharactersWithSpaces>6544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2020-09-26T01:44:00Z</dcterms:created>
  <dc:creator>马英</dc:creator>
  <cp:lastModifiedBy>Administrator</cp:lastModifiedBy>
  <cp:lastPrinted>2021-09-25T09:24:00Z</cp:lastPrinted>
  <dcterms:modified xsi:type="dcterms:W3CDTF">2024-04-09T08:05:59Z</dcterms:modified>
  <dc:title>××部门2018年度部门决算</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75F11765A9744ECD93F42B15C20BA3ED_12</vt:lpwstr>
  </property>
</Properties>
</file>