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145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90"/>
        <w:gridCol w:w="450"/>
        <w:gridCol w:w="1365"/>
        <w:gridCol w:w="1275"/>
        <w:gridCol w:w="2730"/>
        <w:gridCol w:w="900"/>
        <w:gridCol w:w="735"/>
        <w:gridCol w:w="810"/>
        <w:gridCol w:w="990"/>
        <w:gridCol w:w="915"/>
        <w:gridCol w:w="1215"/>
        <w:gridCol w:w="2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 w:hRule="atLeast"/>
        </w:trPr>
        <w:tc>
          <w:tcPr>
            <w:tcW w:w="990"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黑体" w:hAnsi="宋体" w:eastAsia="黑体" w:cs="黑体"/>
                <w:i w:val="0"/>
                <w:iCs w:val="0"/>
                <w:color w:val="000000"/>
                <w:sz w:val="28"/>
                <w:szCs w:val="28"/>
                <w:u w:val="none"/>
                <w:lang w:val="en-US"/>
              </w:rPr>
            </w:pPr>
            <w:r>
              <w:rPr>
                <w:rFonts w:hint="eastAsia" w:ascii="黑体" w:hAnsi="黑体" w:eastAsia="黑体" w:cs="黑体"/>
                <w:i w:val="0"/>
                <w:iCs w:val="0"/>
                <w:color w:val="000000"/>
                <w:kern w:val="0"/>
                <w:sz w:val="28"/>
                <w:szCs w:val="28"/>
                <w:u w:val="none"/>
                <w:lang w:val="en-US" w:eastAsia="zh-CN" w:bidi="ar"/>
              </w:rPr>
              <w:t>附件</w:t>
            </w:r>
          </w:p>
        </w:tc>
        <w:tc>
          <w:tcPr>
            <w:tcW w:w="45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36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73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0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735"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1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9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21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2175"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99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4"/>
                <w:szCs w:val="24"/>
                <w:u w:val="none"/>
              </w:rPr>
            </w:pPr>
          </w:p>
        </w:tc>
        <w:tc>
          <w:tcPr>
            <w:tcW w:w="13560" w:type="dxa"/>
            <w:gridSpan w:val="11"/>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0"/>
                <w:szCs w:val="30"/>
                <w:u w:val="none"/>
              </w:rPr>
            </w:pPr>
            <w:bookmarkStart w:id="0" w:name="_GoBack"/>
            <w:r>
              <w:rPr>
                <w:rFonts w:hint="eastAsia" w:ascii="方正小标宋简体" w:hAnsi="方正小标宋简体" w:eastAsia="方正小标宋简体" w:cs="方正小标宋简体"/>
                <w:i w:val="0"/>
                <w:iCs w:val="0"/>
                <w:color w:val="000000"/>
                <w:kern w:val="0"/>
                <w:sz w:val="30"/>
                <w:szCs w:val="30"/>
                <w:u w:val="none"/>
                <w:lang w:val="en-US" w:eastAsia="zh-CN" w:bidi="ar"/>
              </w:rPr>
              <w:t>赣州市15个口腔种植类医疗服务价格项目（征求意见稿）</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序号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财务分类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项目编码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江西省医疗服务项目名称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项目内涵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内容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计价单位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三级价格（元）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二级价格（元）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一级价格（元）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一级价格的80%（元）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b/>
                <w:bCs/>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口腔种植类</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1"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lang w:eastAsia="zh-CN"/>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0"/>
                <w:szCs w:val="20"/>
                <w:u w:val="none"/>
              </w:rPr>
            </w:pPr>
          </w:p>
        </w:tc>
        <w:tc>
          <w:tcPr>
            <w:tcW w:w="1174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本类说明：</w:t>
            </w:r>
          </w:p>
          <w:p>
            <w:pPr>
              <w:keepNext w:val="0"/>
              <w:keepLines w:val="0"/>
              <w:widowControl/>
              <w:suppressLineNumbers w:val="0"/>
              <w:jc w:val="left"/>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1.本表格所指植入体为种植体、基台等植入牙床、包裹在牙龈内的医用耗材，置入体是指种植牙冠、义齿等安置在口腔内、暴露在牙龈之外，不与人体组织直接结合的医用耗材。</w:t>
            </w:r>
          </w:p>
          <w:p>
            <w:pPr>
              <w:keepNext w:val="0"/>
              <w:keepLines w:val="0"/>
              <w:widowControl/>
              <w:suppressLineNumbers w:val="0"/>
              <w:jc w:val="left"/>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2.本表格所称“项目内涵”，指制定项目价格应涵盖的各类资源消耗，用于确定计价单元的边界，不应作为临床技术标准理解，不是医疗服务实际操作方式、路径、步骤、程序的强制性要求。医疗机构提供服务时，内涵中个别要素因患者个体差异可以不发生的，应允许医疗机构收费适用相应的项目和价格政策，另有政策规定的除外。</w:t>
            </w:r>
          </w:p>
          <w:p>
            <w:pPr>
              <w:keepNext w:val="0"/>
              <w:keepLines w:val="0"/>
              <w:widowControl/>
              <w:suppressLineNumbers w:val="0"/>
              <w:jc w:val="left"/>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3.本表格所称“基本物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包）、注射器、压舌板、滑石粉、防渗漏垫、标签、操作器具、冲洗工具。基本物耗成本计入项目价格，不另行收费。除基本物耗以外的其他耗材，按照实际采购价格零差率销售。</w:t>
            </w:r>
          </w:p>
          <w:p>
            <w:pPr>
              <w:keepNext w:val="0"/>
              <w:keepLines w:val="0"/>
              <w:widowControl/>
              <w:suppressLineNumbers w:val="0"/>
              <w:jc w:val="left"/>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4.即刻种植指拔牙或牙齿缺失当日完成种植体植入的情况；即刻修复指种植体植入后1周以内完成牙冠置入的情形。</w:t>
            </w:r>
          </w:p>
          <w:p>
            <w:pPr>
              <w:keepNext w:val="0"/>
              <w:keepLines w:val="0"/>
              <w:widowControl/>
              <w:suppressLineNumbers w:val="0"/>
              <w:jc w:val="left"/>
              <w:textAlignment w:val="center"/>
              <w:rPr>
                <w:rFonts w:ascii="宋体" w:hAnsi="宋体" w:eastAsia="宋体" w:cs="宋体"/>
                <w:i w:val="0"/>
                <w:iCs w:val="0"/>
                <w:color w:val="000000"/>
                <w:kern w:val="0"/>
                <w:sz w:val="21"/>
                <w:szCs w:val="21"/>
                <w:u w:val="none"/>
                <w:lang w:val="en-US" w:eastAsia="zh-CN" w:bidi="ar"/>
              </w:rPr>
            </w:pPr>
            <w:r>
              <w:rPr>
                <w:rFonts w:ascii="宋体" w:hAnsi="宋体" w:eastAsia="宋体" w:cs="宋体"/>
                <w:i w:val="0"/>
                <w:iCs w:val="0"/>
                <w:color w:val="000000"/>
                <w:kern w:val="0"/>
                <w:sz w:val="21"/>
                <w:szCs w:val="21"/>
                <w:u w:val="none"/>
                <w:lang w:val="en-US" w:eastAsia="zh-CN" w:bidi="ar"/>
              </w:rPr>
              <w:t>5.医疗机构应对本院施治的口腔内牙齿缺失植入体、置入体进行保质保修，保修范围内出现损坏，医疗机构应免费进行修理、再制作，不得向患者收费。</w:t>
            </w:r>
          </w:p>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1"/>
                <w:szCs w:val="21"/>
                <w:u w:val="none"/>
                <w:lang w:val="en-US" w:eastAsia="zh-CN" w:bidi="ar"/>
              </w:rPr>
              <w:t>6.本表格所列的口腔医学3D项目，是指为口腔种植手术方案设计、导航定位等提供辅助的服务。医疗机构自行制作牙冠所进行的3D扫描设计、打印切削，以及翻模精修、烧结上釉、上色调改等具体操作，作为成本要素计入种植牙牙冠价格，不再将上述牙冠加工制作的具体操作步骤作为医疗服务价格项目向患者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sz w:val="24"/>
                <w:szCs w:val="24"/>
                <w:u w:val="none"/>
              </w:rPr>
            </w:pPr>
            <w:r>
              <w:rPr>
                <w:rFonts w:ascii="宋体" w:hAnsi="宋体" w:eastAsia="宋体" w:cs="宋体"/>
                <w:b/>
                <w:bCs/>
                <w:i w:val="0"/>
                <w:iCs w:val="0"/>
                <w:color w:val="000000"/>
                <w:kern w:val="0"/>
                <w:sz w:val="20"/>
                <w:szCs w:val="20"/>
                <w:u w:val="none"/>
                <w:lang w:val="en-US" w:eastAsia="zh-CN" w:bidi="ar"/>
              </w:rPr>
              <w:t>序号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财务分类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项目编码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江西省医疗服务项目名称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项目内涵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内容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计价单位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三级价格（元）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二级价格（元）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一级价格（元）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一级价格的80%（元）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F</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013306090010000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种植体植入（单颗）</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实现口腔单颗种植体植入。价格构成涵盖方案设计、术前准备，备洞，种植体植入，二期手术，术后处理，手术复查等步骤人力资源和基本物资消耗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种植体系统、基台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牙位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1530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1088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1.种植体即刻种植加收25%；</w:t>
            </w:r>
          </w:p>
          <w:p>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2.颅颌面种植体植入加收50%。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013306090020000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种植体植入（全牙弓）</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对范围超过一个象限以上的连续牙齿缺失进行种植体的植入以实现桥式修复。价格构成涵盖方案设计、术前准备，备洞，种植体植入，二期手术，术后处理，手术复查等步骤人力资源和基本物资消耗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种植体系统、基台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上下颌分别进行桥式修复的，分别计价收费。</w:t>
            </w:r>
          </w:p>
          <w:p>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1.种植体即刻种植加收；</w:t>
            </w:r>
          </w:p>
          <w:p>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2.颅颌面种植体植入加收；</w:t>
            </w:r>
          </w:p>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3.种植体倾斜植入加收。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E</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013105170010000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种植牙冠修复置入（单颗）</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实现种植体上部固定义齿的修复置入。价格构成涵盖方案设计、印模制取、颌位确定、位置转移、模型制作、试排牙、戴入、调改、宣教等人力资源和基本物资消耗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种植体替代体、基台、转移杆、冠（义齿）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牙位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1.即刻修复置入加收25%；</w:t>
            </w:r>
          </w:p>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2.临时冠修复置入减收25%。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b/>
                <w:bCs/>
                <w:i w:val="0"/>
                <w:iCs w:val="0"/>
                <w:color w:val="000000"/>
                <w:kern w:val="0"/>
                <w:sz w:val="20"/>
                <w:szCs w:val="20"/>
                <w:u w:val="none"/>
                <w:lang w:val="en-US" w:eastAsia="zh-CN" w:bidi="ar"/>
              </w:rPr>
              <w:t>序号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财务分类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项目编码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江西省医疗服务项目名称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项目内涵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内容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计价单位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三级价格（元）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二级价格（元）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一级价格（元）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一级价格的80%（元）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E</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013105170020000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种植牙冠修复置入（连续冠桥修复）</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实现种植体上部不超过一个象限的连续固定义齿的修复置入。价格构成涵盖方案设计、印模制取、颌位确定、位置转移、模型制作、试排牙、戴入、调改、宣教等人力资源和基本物资消耗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种植体替代体、基台、转移杆、冠（义齿）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牙位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1.即刻修复置入加收25%；</w:t>
            </w:r>
          </w:p>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2.临时冠修复置入减收25%。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E</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013105170030000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种植牙冠修复置入（固定咬合重建）</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实现对咬合支持丧失、半口牙齿缺失或全口牙齿缺失的种植体上部固定义齿的修复置入。价格构成涵盖方案设计、印模制取、颌位确定、位置转移、模型制作、试排牙、戴入、调改、宣教等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义齿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即刻修复置入加收。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E</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013105230010000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种植可摘修复置入</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实现种植体上部可摘修复体的置入。价格构成涵盖方案设计、印模制取、颌位确定、位置转移、试排牙、模型制作、戴入、调改、宣教等人力资源和基本物资消耗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义齿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市场调节价</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市场调节价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即刻修复置入加收。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b/>
                <w:bCs/>
                <w:i w:val="0"/>
                <w:iCs w:val="0"/>
                <w:color w:val="000000"/>
                <w:kern w:val="0"/>
                <w:sz w:val="20"/>
                <w:szCs w:val="20"/>
                <w:u w:val="none"/>
                <w:lang w:val="en-US" w:eastAsia="zh-CN" w:bidi="ar"/>
              </w:rPr>
              <w:t>序号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财务分类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项目编码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江西省医疗服务项目名称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项目内涵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内容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计价单位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三级价格（元）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二级价格（元）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一级价格（元）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一级价格的80%（元）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013306090030000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口腔内植骨费（简单）</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通过手术方式，对轻度牙槽嵴萎缩骨量增加，达到可种植条件。价格构成涵盖方案设计、术前准备、手术入路，组织切开，植骨，关闭缝合受植区等手术步骤及术后复查处置等人力资源和基本物资消耗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骨粉、骨膜、螺钉、胶原基骨修复材料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牙位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013306090040000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口腔内植骨费（一般）</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通过手术方式，对中度牙槽嵴萎缩骨量增加，达到可种植条件。价格构成涵盖方案设计、术前准备、手术入路，组织切开，骨劈开/骨挤压，植骨，关闭缝合受植区等手术步骤及术后复查处置等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骨粉、骨膜、螺钉、胶原基骨修复材料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牙位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1024</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013306090050000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口腔内植骨费（复杂）</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通过手术方式，对重度牙槽嵴萎缩或上颌窦底骨量增加，达到可种植条件。价格构成涵盖方案设计、术前准备、手术入路，组织切开，自体骨移植、植骨，关闭缝合受植区等手术步骤及术后复查处置等人力资源和基本物资消耗</w:t>
            </w:r>
          </w:p>
          <w:p>
            <w:pPr>
              <w:pStyle w:val="2"/>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骨粉、骨膜、螺钉、胶原基骨修复材料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牙位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kern w:val="0"/>
                <w:sz w:val="20"/>
                <w:szCs w:val="20"/>
                <w:u w:val="none"/>
                <w:lang w:val="en-US" w:eastAsia="zh-CN" w:bidi="ar"/>
              </w:rPr>
            </w:pPr>
            <w:r>
              <w:rPr>
                <w:rFonts w:ascii="宋体" w:hAnsi="宋体" w:eastAsia="宋体" w:cs="宋体"/>
                <w:i w:val="0"/>
                <w:iCs w:val="0"/>
                <w:color w:val="000000"/>
                <w:kern w:val="0"/>
                <w:sz w:val="20"/>
                <w:szCs w:val="20"/>
                <w:u w:val="none"/>
                <w:lang w:val="en-US" w:eastAsia="zh-CN" w:bidi="ar"/>
              </w:rPr>
              <w:t>1.上颌窦囊肿摘除加收25%；</w:t>
            </w:r>
          </w:p>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2.口腔以外其他部位取骨加收50%。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b/>
                <w:bCs/>
                <w:i w:val="0"/>
                <w:iCs w:val="0"/>
                <w:color w:val="000000"/>
                <w:kern w:val="0"/>
                <w:sz w:val="20"/>
                <w:szCs w:val="20"/>
                <w:u w:val="none"/>
                <w:lang w:val="en-US" w:eastAsia="zh-CN" w:bidi="ar"/>
              </w:rPr>
              <w:t>序号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财务分类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项目编码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江西省医疗服务项目名称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项目内涵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内容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计价单位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三级价格（元）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二级价格（元）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一级价格（元）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一级价格的80%（元）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lang w:val="en-US" w:eastAsia="zh-CN"/>
              </w:rPr>
            </w:pPr>
            <w:r>
              <w:rPr>
                <w:rFonts w:ascii="宋体" w:hAnsi="宋体" w:eastAsia="宋体" w:cs="宋体"/>
                <w:b/>
                <w:bCs/>
                <w:i w:val="0"/>
                <w:iCs w:val="0"/>
                <w:color w:val="000000"/>
                <w:kern w:val="0"/>
                <w:sz w:val="20"/>
                <w:szCs w:val="20"/>
                <w:u w:val="none"/>
                <w:lang w:val="en-US" w:eastAsia="zh-CN" w:bidi="ar"/>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013306090060000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种植体周软组织移植</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通过局部软组织移植，改善治疗部位及周围软组织状况，达到治疗所需软组织条件。价格构成涵盖方案设计、术前准备、切开、翻瓣、供软组织制备、组织固定、缝合及处置等手术步骤人力资源和基本物资消耗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骨膜、胶原基骨修复材料</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牙位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013306090070000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种植体取出术</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拆除患者口腔内已植入且无法继续使用的种植体。价格构成涵盖种植体拆除操作步骤的人力资源和基本基本物资消耗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牙位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4"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E</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013105190010000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种植牙冠修理</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对产品保质保修条件外，种植牙冠脱落、崩瓷、嵌食、断裂等机械性或器质性损坏进行修理，恢复正常使用。价格构成涵盖种植修复置入体的检查、拆卸、修补、置入等人力资源和基本物资消耗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牙位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512</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4"/>
                <w:szCs w:val="24"/>
                <w:u w:val="none"/>
                <w:lang w:val="en-US" w:eastAsia="zh-CN" w:bidi="ar"/>
              </w:rPr>
            </w:pPr>
            <w:r>
              <w:rPr>
                <w:rFonts w:ascii="宋体" w:hAnsi="宋体" w:eastAsia="宋体" w:cs="宋体"/>
                <w:b/>
                <w:bCs/>
                <w:i w:val="0"/>
                <w:iCs w:val="0"/>
                <w:color w:val="000000"/>
                <w:kern w:val="0"/>
                <w:sz w:val="20"/>
                <w:szCs w:val="20"/>
                <w:u w:val="none"/>
                <w:lang w:val="en-US" w:eastAsia="zh-CN" w:bidi="ar"/>
              </w:rPr>
              <w:t>序号</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财务分类</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项目编码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江西省医疗服务项目名称</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项目内涵</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b/>
                <w:bCs/>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除外</w:t>
            </w: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内容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计价单位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三级价格（元）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二级价格（元）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一级价格（元）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kern w:val="0"/>
                <w:sz w:val="20"/>
                <w:szCs w:val="20"/>
                <w:u w:val="none"/>
                <w:lang w:val="en-US" w:eastAsia="zh-CN" w:bidi="ar"/>
              </w:rPr>
            </w:pPr>
            <w:r>
              <w:rPr>
                <w:rFonts w:ascii="宋体" w:hAnsi="宋体" w:eastAsia="宋体" w:cs="宋体"/>
                <w:b/>
                <w:bCs/>
                <w:i w:val="0"/>
                <w:iCs w:val="0"/>
                <w:color w:val="000000"/>
                <w:kern w:val="0"/>
                <w:sz w:val="20"/>
                <w:szCs w:val="20"/>
                <w:u w:val="none"/>
                <w:lang w:val="en-US" w:eastAsia="zh-CN" w:bidi="ar"/>
              </w:rPr>
              <w:t>一级价格的80%（元）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outlineLvl w:val="9"/>
              <w:rPr>
                <w:rFonts w:hint="eastAsia" w:ascii="宋体" w:hAnsi="宋体" w:eastAsia="宋体" w:cs="宋体"/>
                <w:i w:val="0"/>
                <w:iCs w:val="0"/>
                <w:color w:val="000000"/>
                <w:sz w:val="20"/>
                <w:szCs w:val="20"/>
                <w:u w:val="none"/>
              </w:rPr>
            </w:pPr>
            <w:r>
              <w:rPr>
                <w:rFonts w:ascii="宋体" w:hAnsi="宋体" w:eastAsia="宋体" w:cs="宋体"/>
                <w:b/>
                <w:bCs/>
                <w:i w:val="0"/>
                <w:iCs w:val="0"/>
                <w:color w:val="000000"/>
                <w:kern w:val="0"/>
                <w:sz w:val="20"/>
                <w:szCs w:val="20"/>
                <w:u w:val="none"/>
                <w:lang w:val="en-US" w:eastAsia="zh-CN" w:bidi="ar"/>
              </w:rPr>
              <w:t>说  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E</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013105170040000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医学3D建模（口腔）</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利用医学影像检查等手段获得患者特定部位的真实信息。通过数字技术构建的虚拟3D模型、真实再现口腔及颌面特定部位的形态，能够满足疾病诊断、手术规划、治疗及导板设计的需要。价格构成涵盖数字化扫描、建模、存储、传输，装置设计等步骤的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E</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013105170020000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医学3D模型打印（口腔）</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将虚拟3D模型打印或切削制作成仅用于口腔疾病诊断、手术规划、治疗及导板设计的实体模型。价格构成涵盖3D打印或切削制作的人力资源和基本物资消耗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常规单颗种植中使用本项目，按收费标准的7%计价。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E</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013105170030000</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医学3D导板打印（口腔）</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将虚拟3D模型打印或切削制作成用于治疗部位、确保植（置）入物精准到达和处理预定位置的实物模板或手术操作对治疗部位进行精确处理。价格构成涵盖3D打印或切削制作的人力资源和基本物资消耗</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件</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1200</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960</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768</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lang w:val="en-US" w:eastAsia="zh-CN" w:bidi="ar"/>
              </w:rPr>
              <w:t>常规单颗种植中使用本项目，按收费标准的7%计价。</w:t>
            </w:r>
          </w:p>
        </w:tc>
      </w:tr>
    </w:tbl>
    <w:p>
      <w:pPr>
        <w:pStyle w:val="2"/>
        <w:rPr>
          <w:rFonts w:hint="eastAsia"/>
          <w:sz w:val="24"/>
          <w:szCs w:val="32"/>
          <w:lang w:val="en-US" w:eastAsia="zh-CN"/>
        </w:rPr>
      </w:pPr>
    </w:p>
    <w:sectPr>
      <w:footerReference r:id="rId3" w:type="default"/>
      <w:pgSz w:w="16838" w:h="11906" w:orient="landscape"/>
      <w:pgMar w:top="1463" w:right="1440" w:bottom="1463" w:left="144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Segoe UI">
    <w:altName w:val="Noto Naskh Arabic"/>
    <w:panose1 w:val="020B0502040204020203"/>
    <w:charset w:val="00"/>
    <w:family w:val="auto"/>
    <w:pitch w:val="default"/>
    <w:sig w:usb0="00000000" w:usb1="00000000"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Nimbus Roman No9 L"/>
    <w:panose1 w:val="02020603050405020304"/>
    <w:charset w:val="00"/>
    <w:family w:val="auto"/>
    <w:pitch w:val="default"/>
    <w:sig w:usb0="00000000" w:usb1="00000000" w:usb2="00000009" w:usb3="00000000" w:csb0="400001FF" w:csb1="FFFF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 w:name="宋体-PUA">
    <w:panose1 w:val="02010600030101010101"/>
    <w:charset w:val="86"/>
    <w:family w:val="auto"/>
    <w:pitch w:val="default"/>
    <w:sig w:usb0="00000000" w:usb1="1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Naskh Arabic">
    <w:panose1 w:val="020B0502040504020204"/>
    <w:charset w:val="00"/>
    <w:family w:val="auto"/>
    <w:pitch w:val="default"/>
    <w:sig w:usb0="00002000" w:usb1="80000000" w:usb2="00000008" w:usb3="00000000" w:csb0="00000041" w:csb1="0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210" w:rightChars="100"/>
      <w:jc w:val="right"/>
      <w:rPr>
        <w:rFonts w:ascii="宋体" w:hAnsi="宋体"/>
        <w:sz w:val="30"/>
        <w:szCs w:val="30"/>
        <w:lang w:val="en-US"/>
      </w:rPr>
    </w:pPr>
    <w:r>
      <w:rPr>
        <w:sz w:val="3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YWUwNDhlYjRkNWJiMDUyM2EzODI1Yjk4ZTZlZTUifQ=="/>
  </w:docVars>
  <w:rsids>
    <w:rsidRoot w:val="17F65439"/>
    <w:rsid w:val="001D73E9"/>
    <w:rsid w:val="006609F2"/>
    <w:rsid w:val="00AA0B69"/>
    <w:rsid w:val="00AC613C"/>
    <w:rsid w:val="010C5F33"/>
    <w:rsid w:val="01843CA9"/>
    <w:rsid w:val="01EB22FD"/>
    <w:rsid w:val="031672C9"/>
    <w:rsid w:val="03505823"/>
    <w:rsid w:val="035263CA"/>
    <w:rsid w:val="03F15FA1"/>
    <w:rsid w:val="03F36C1A"/>
    <w:rsid w:val="0451447E"/>
    <w:rsid w:val="050403DA"/>
    <w:rsid w:val="05216546"/>
    <w:rsid w:val="05257730"/>
    <w:rsid w:val="056A11B1"/>
    <w:rsid w:val="05FF78FA"/>
    <w:rsid w:val="066A0BB5"/>
    <w:rsid w:val="069140FB"/>
    <w:rsid w:val="087635B6"/>
    <w:rsid w:val="08A1371B"/>
    <w:rsid w:val="08BC6AC6"/>
    <w:rsid w:val="09590165"/>
    <w:rsid w:val="09DE3D5B"/>
    <w:rsid w:val="0A2E05FC"/>
    <w:rsid w:val="0A434D11"/>
    <w:rsid w:val="0A5652B0"/>
    <w:rsid w:val="0A914D68"/>
    <w:rsid w:val="0AF36C61"/>
    <w:rsid w:val="0B6E5916"/>
    <w:rsid w:val="0B8B67BE"/>
    <w:rsid w:val="0BA10D60"/>
    <w:rsid w:val="0BD70A14"/>
    <w:rsid w:val="0BEA467D"/>
    <w:rsid w:val="0CA02447"/>
    <w:rsid w:val="0D0176EC"/>
    <w:rsid w:val="0D561E00"/>
    <w:rsid w:val="0E5A36A2"/>
    <w:rsid w:val="0E7C71B0"/>
    <w:rsid w:val="0F4A40D5"/>
    <w:rsid w:val="102D12B5"/>
    <w:rsid w:val="1030349B"/>
    <w:rsid w:val="1066704E"/>
    <w:rsid w:val="10D75D0B"/>
    <w:rsid w:val="11656593"/>
    <w:rsid w:val="119643B8"/>
    <w:rsid w:val="11EE5A02"/>
    <w:rsid w:val="126E4470"/>
    <w:rsid w:val="128E4549"/>
    <w:rsid w:val="12AE393B"/>
    <w:rsid w:val="12E31229"/>
    <w:rsid w:val="1331204B"/>
    <w:rsid w:val="13332D42"/>
    <w:rsid w:val="13B558C4"/>
    <w:rsid w:val="13D44784"/>
    <w:rsid w:val="15325C06"/>
    <w:rsid w:val="15807385"/>
    <w:rsid w:val="15D73AF5"/>
    <w:rsid w:val="15E27320"/>
    <w:rsid w:val="16D546A2"/>
    <w:rsid w:val="17F65439"/>
    <w:rsid w:val="18AE40B2"/>
    <w:rsid w:val="18DA6F38"/>
    <w:rsid w:val="1AF776D6"/>
    <w:rsid w:val="1AFB7DFA"/>
    <w:rsid w:val="1B217A27"/>
    <w:rsid w:val="1B23671D"/>
    <w:rsid w:val="1C1F47C7"/>
    <w:rsid w:val="1CF211D7"/>
    <w:rsid w:val="1DA47C6E"/>
    <w:rsid w:val="1DFD3028"/>
    <w:rsid w:val="1E282972"/>
    <w:rsid w:val="1FD64FC0"/>
    <w:rsid w:val="2066531A"/>
    <w:rsid w:val="220928C4"/>
    <w:rsid w:val="22D3737A"/>
    <w:rsid w:val="22D66633"/>
    <w:rsid w:val="23F620D3"/>
    <w:rsid w:val="23FA1FE5"/>
    <w:rsid w:val="25D46C7D"/>
    <w:rsid w:val="26456B9D"/>
    <w:rsid w:val="266F1680"/>
    <w:rsid w:val="26E54916"/>
    <w:rsid w:val="26FF2682"/>
    <w:rsid w:val="2765416F"/>
    <w:rsid w:val="27883646"/>
    <w:rsid w:val="27AC75D2"/>
    <w:rsid w:val="27B36011"/>
    <w:rsid w:val="28093703"/>
    <w:rsid w:val="28426E43"/>
    <w:rsid w:val="28521B44"/>
    <w:rsid w:val="287F3CA1"/>
    <w:rsid w:val="28CC7A28"/>
    <w:rsid w:val="29BC202E"/>
    <w:rsid w:val="2AA13E85"/>
    <w:rsid w:val="2B205331"/>
    <w:rsid w:val="2BAA5C0B"/>
    <w:rsid w:val="2C2D3427"/>
    <w:rsid w:val="2C9C1E8B"/>
    <w:rsid w:val="2E7F73AC"/>
    <w:rsid w:val="2F5709E9"/>
    <w:rsid w:val="2F64672A"/>
    <w:rsid w:val="2FA86EB4"/>
    <w:rsid w:val="2FA90B15"/>
    <w:rsid w:val="301C5DED"/>
    <w:rsid w:val="31FB6F6D"/>
    <w:rsid w:val="320B0FEE"/>
    <w:rsid w:val="32A36C21"/>
    <w:rsid w:val="33950E73"/>
    <w:rsid w:val="33B06E9A"/>
    <w:rsid w:val="33F272EE"/>
    <w:rsid w:val="33F93B5A"/>
    <w:rsid w:val="34471A70"/>
    <w:rsid w:val="34D66F39"/>
    <w:rsid w:val="36081604"/>
    <w:rsid w:val="36A11C24"/>
    <w:rsid w:val="37311D5C"/>
    <w:rsid w:val="38DC210B"/>
    <w:rsid w:val="391F2A02"/>
    <w:rsid w:val="39327A63"/>
    <w:rsid w:val="39B81B04"/>
    <w:rsid w:val="39C742BF"/>
    <w:rsid w:val="3AB01BF3"/>
    <w:rsid w:val="3BCA5180"/>
    <w:rsid w:val="3C092633"/>
    <w:rsid w:val="3C261771"/>
    <w:rsid w:val="3C5A744D"/>
    <w:rsid w:val="3C6B66BB"/>
    <w:rsid w:val="3D782F20"/>
    <w:rsid w:val="3DD81644"/>
    <w:rsid w:val="3DDB43D8"/>
    <w:rsid w:val="3E132C0B"/>
    <w:rsid w:val="3E4150B6"/>
    <w:rsid w:val="3E4D1B5E"/>
    <w:rsid w:val="3EC156BD"/>
    <w:rsid w:val="3F67B246"/>
    <w:rsid w:val="40416E0F"/>
    <w:rsid w:val="40B52642"/>
    <w:rsid w:val="415125AB"/>
    <w:rsid w:val="41D2041B"/>
    <w:rsid w:val="43C62F78"/>
    <w:rsid w:val="45563B65"/>
    <w:rsid w:val="45FF2145"/>
    <w:rsid w:val="46A53C3B"/>
    <w:rsid w:val="47586317"/>
    <w:rsid w:val="487963F1"/>
    <w:rsid w:val="4BDB2578"/>
    <w:rsid w:val="4BDD52B9"/>
    <w:rsid w:val="4BF50D05"/>
    <w:rsid w:val="4C7D7B3E"/>
    <w:rsid w:val="4CAB42B7"/>
    <w:rsid w:val="4D5D3BCE"/>
    <w:rsid w:val="4DE14C11"/>
    <w:rsid w:val="4E2B70BB"/>
    <w:rsid w:val="4E586E9C"/>
    <w:rsid w:val="4E9A4A7F"/>
    <w:rsid w:val="4EDF1857"/>
    <w:rsid w:val="4F261598"/>
    <w:rsid w:val="4F443F90"/>
    <w:rsid w:val="4F480524"/>
    <w:rsid w:val="4F8B7A13"/>
    <w:rsid w:val="50CE0ABD"/>
    <w:rsid w:val="5229534D"/>
    <w:rsid w:val="529C043D"/>
    <w:rsid w:val="52B21B59"/>
    <w:rsid w:val="52C2313D"/>
    <w:rsid w:val="52F845B5"/>
    <w:rsid w:val="540C0D2B"/>
    <w:rsid w:val="54123C89"/>
    <w:rsid w:val="55CE05DC"/>
    <w:rsid w:val="563E5961"/>
    <w:rsid w:val="56771B71"/>
    <w:rsid w:val="56C57095"/>
    <w:rsid w:val="570E033B"/>
    <w:rsid w:val="572F766A"/>
    <w:rsid w:val="575D5376"/>
    <w:rsid w:val="57AF5DAD"/>
    <w:rsid w:val="585B140E"/>
    <w:rsid w:val="587A30D6"/>
    <w:rsid w:val="59741C1F"/>
    <w:rsid w:val="5A28052A"/>
    <w:rsid w:val="5A286778"/>
    <w:rsid w:val="5A633C38"/>
    <w:rsid w:val="5CE648D9"/>
    <w:rsid w:val="5D602CCE"/>
    <w:rsid w:val="5E413D91"/>
    <w:rsid w:val="5F0B728B"/>
    <w:rsid w:val="60285A01"/>
    <w:rsid w:val="608155E1"/>
    <w:rsid w:val="610746D9"/>
    <w:rsid w:val="61672D36"/>
    <w:rsid w:val="61AF4EBE"/>
    <w:rsid w:val="6205033B"/>
    <w:rsid w:val="6288106E"/>
    <w:rsid w:val="62C83F51"/>
    <w:rsid w:val="62ED6972"/>
    <w:rsid w:val="631FBEE3"/>
    <w:rsid w:val="63307229"/>
    <w:rsid w:val="659661FB"/>
    <w:rsid w:val="659B647C"/>
    <w:rsid w:val="66C0619B"/>
    <w:rsid w:val="68097329"/>
    <w:rsid w:val="684709F6"/>
    <w:rsid w:val="687431CB"/>
    <w:rsid w:val="69102468"/>
    <w:rsid w:val="69361824"/>
    <w:rsid w:val="697A4E4C"/>
    <w:rsid w:val="698507F6"/>
    <w:rsid w:val="6B4C4AE6"/>
    <w:rsid w:val="6B9F2992"/>
    <w:rsid w:val="6C2B5035"/>
    <w:rsid w:val="6CC915BE"/>
    <w:rsid w:val="6CEC5FD3"/>
    <w:rsid w:val="6DA86A8C"/>
    <w:rsid w:val="6F2C2C16"/>
    <w:rsid w:val="6F6A071B"/>
    <w:rsid w:val="701D01BA"/>
    <w:rsid w:val="705336C7"/>
    <w:rsid w:val="7104054D"/>
    <w:rsid w:val="74B230F6"/>
    <w:rsid w:val="74BE5B14"/>
    <w:rsid w:val="75C365C8"/>
    <w:rsid w:val="76BB072D"/>
    <w:rsid w:val="77793A71"/>
    <w:rsid w:val="780B5C39"/>
    <w:rsid w:val="78283DCB"/>
    <w:rsid w:val="78304F18"/>
    <w:rsid w:val="783922D0"/>
    <w:rsid w:val="78446F80"/>
    <w:rsid w:val="794C16C8"/>
    <w:rsid w:val="7986708B"/>
    <w:rsid w:val="79D145CA"/>
    <w:rsid w:val="79E47052"/>
    <w:rsid w:val="79F6326C"/>
    <w:rsid w:val="7A907A33"/>
    <w:rsid w:val="7A9E25BB"/>
    <w:rsid w:val="7ACC28F4"/>
    <w:rsid w:val="7B6B684E"/>
    <w:rsid w:val="7B9E5356"/>
    <w:rsid w:val="7C43369E"/>
    <w:rsid w:val="7CB313B0"/>
    <w:rsid w:val="7CC925E3"/>
    <w:rsid w:val="7D261D86"/>
    <w:rsid w:val="7D267923"/>
    <w:rsid w:val="7DAE4B47"/>
    <w:rsid w:val="7E546F05"/>
    <w:rsid w:val="D5DFF618"/>
    <w:rsid w:val="DFFF5D15"/>
    <w:rsid w:val="EFD52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Lines="100" w:line="600" w:lineRule="exact"/>
      <w:outlineLvl w:val="1"/>
    </w:pPr>
    <w:rPr>
      <w:rFonts w:ascii="Arial" w:hAnsi="Arial" w:eastAsia="仿宋_GB2312" w:cs="Times New Roman"/>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szCs w:val="24"/>
    </w:rPr>
  </w:style>
  <w:style w:type="paragraph" w:styleId="5">
    <w:name w:val="Normal Indent"/>
    <w:basedOn w:val="1"/>
    <w:next w:val="1"/>
    <w:qFormat/>
    <w:uiPriority w:val="0"/>
    <w:pPr>
      <w:ind w:firstLine="420" w:firstLineChars="200"/>
    </w:pPr>
    <w:rPr>
      <w:rFonts w:ascii="Times New Roman" w:hAnsi="Times New Roman" w:eastAsia="宋体" w:cs="Times New Roman"/>
    </w:rPr>
  </w:style>
  <w:style w:type="paragraph" w:styleId="6">
    <w:name w:val="Body Text Indent"/>
    <w:basedOn w:val="1"/>
    <w:unhideWhenUsed/>
    <w:qFormat/>
    <w:uiPriority w:val="99"/>
    <w:pPr>
      <w:spacing w:after="120"/>
      <w:ind w:left="420" w:leftChars="200"/>
    </w:pPr>
  </w:style>
  <w:style w:type="paragraph" w:styleId="7">
    <w:name w:val="Plain Text"/>
    <w:basedOn w:val="1"/>
    <w:unhideWhenUsed/>
    <w:qFormat/>
    <w:uiPriority w:val="99"/>
    <w:rPr>
      <w:rFonts w:ascii="宋体" w:hAnsi="Courier New"/>
      <w:sz w:val="32"/>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1">
    <w:name w:val="Body Text First Indent"/>
    <w:basedOn w:val="2"/>
    <w:qFormat/>
    <w:uiPriority w:val="0"/>
    <w:pPr>
      <w:ind w:firstLine="420" w:firstLineChars="100"/>
    </w:pPr>
    <w:rPr>
      <w:sz w:val="28"/>
    </w:rPr>
  </w:style>
  <w:style w:type="paragraph" w:styleId="12">
    <w:name w:val="Body Text First Indent 2"/>
    <w:basedOn w:val="6"/>
    <w:unhideWhenUsed/>
    <w:qFormat/>
    <w:uiPriority w:val="99"/>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customStyle="1" w:styleId="17">
    <w:name w:val="NormalCharacter"/>
    <w:semiHidden/>
    <w:qFormat/>
    <w:uiPriority w:val="99"/>
  </w:style>
  <w:style w:type="paragraph" w:customStyle="1" w:styleId="18">
    <w:name w:val="List Paragraph"/>
    <w:basedOn w:val="1"/>
    <w:qFormat/>
    <w:uiPriority w:val="99"/>
    <w:pPr>
      <w:ind w:firstLine="420" w:firstLineChars="200"/>
    </w:pPr>
  </w:style>
  <w:style w:type="paragraph" w:customStyle="1" w:styleId="19">
    <w:name w:val="Default"/>
    <w:qFormat/>
    <w:uiPriority w:val="0"/>
    <w:pPr>
      <w:widowControl w:val="0"/>
      <w:autoSpaceDE w:val="0"/>
      <w:autoSpaceDN w:val="0"/>
      <w:adjustRightInd w:val="0"/>
    </w:pPr>
    <w:rPr>
      <w:rFonts w:ascii="方正仿宋简体" w:hAnsi="Times New Roman" w:eastAsia="方正仿宋简体" w:cs="Times New Roman"/>
      <w:color w:val="000000"/>
      <w:sz w:val="24"/>
      <w:szCs w:val="22"/>
      <w:lang w:val="en-US" w:eastAsia="zh-CN" w:bidi="ar-SA"/>
    </w:rPr>
  </w:style>
  <w:style w:type="character" w:customStyle="1" w:styleId="20">
    <w:name w:val="font11"/>
    <w:basedOn w:val="15"/>
    <w:qFormat/>
    <w:uiPriority w:val="0"/>
    <w:rPr>
      <w:rFonts w:hint="eastAsia" w:ascii="宋体" w:hAnsi="宋体" w:eastAsia="宋体" w:cs="宋体"/>
      <w:color w:val="000000"/>
      <w:sz w:val="18"/>
      <w:szCs w:val="18"/>
      <w:u w:val="none"/>
    </w:rPr>
  </w:style>
  <w:style w:type="character" w:customStyle="1" w:styleId="21">
    <w:name w:val="font21"/>
    <w:basedOn w:val="15"/>
    <w:qFormat/>
    <w:uiPriority w:val="0"/>
    <w:rPr>
      <w:rFonts w:hint="default" w:ascii="Segoe UI" w:hAnsi="Segoe UI" w:eastAsia="Segoe UI" w:cs="Segoe UI"/>
      <w:color w:val="000000"/>
      <w:sz w:val="18"/>
      <w:szCs w:val="18"/>
      <w:u w:val="none"/>
    </w:rPr>
  </w:style>
  <w:style w:type="character" w:customStyle="1" w:styleId="22">
    <w:name w:val="font01"/>
    <w:basedOn w:val="15"/>
    <w:qFormat/>
    <w:uiPriority w:val="0"/>
    <w:rPr>
      <w:rFonts w:hint="eastAsia" w:ascii="宋体" w:hAnsi="宋体" w:eastAsia="宋体" w:cs="宋体"/>
      <w:color w:val="000000"/>
      <w:sz w:val="32"/>
      <w:szCs w:val="32"/>
      <w:u w:val="none"/>
    </w:rPr>
  </w:style>
  <w:style w:type="character" w:customStyle="1" w:styleId="23">
    <w:name w:val="font51"/>
    <w:basedOn w:val="15"/>
    <w:qFormat/>
    <w:uiPriority w:val="0"/>
    <w:rPr>
      <w:rFonts w:hint="default" w:ascii="Times New Roman" w:hAnsi="Times New Roman" w:cs="Times New Roman"/>
      <w:color w:val="000000"/>
      <w:sz w:val="32"/>
      <w:szCs w:val="32"/>
      <w:u w:val="none"/>
    </w:rPr>
  </w:style>
  <w:style w:type="character" w:customStyle="1" w:styleId="24">
    <w:name w:val="font41"/>
    <w:basedOn w:val="15"/>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3479</Words>
  <Characters>3921</Characters>
  <Lines>0</Lines>
  <Paragraphs>0</Paragraphs>
  <TotalTime>34</TotalTime>
  <ScaleCrop>false</ScaleCrop>
  <LinksUpToDate>false</LinksUpToDate>
  <CharactersWithSpaces>4020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2021-12-16T10:04:00Z</dcterms:created>
  <dc:creator>Administrator</dc:creator>
  <cp:lastModifiedBy>user</cp:lastModifiedBy>
  <cp:lastPrinted>2022-12-30T16:52:00Z</cp:lastPrinted>
  <dcterms:modified xsi:type="dcterms:W3CDTF">2023-01-04T09:26:41Z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B65FC13CD9294314A178BC5B8E459FBC</vt:lpwstr>
  </property>
</Properties>
</file>