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pacing w:line="540" w:lineRule="exact"/>
        <w:jc w:val="center"/>
        <w:textAlignment w:val="auto"/>
        <w:outlineLvl w:val="0"/>
        <w:rPr>
          <w:rFonts w:hint="eastAsia" w:ascii="方正小标宋简体" w:eastAsia="方正小标宋简体"/>
          <w:w w:val="100"/>
          <w:sz w:val="44"/>
        </w:rPr>
      </w:pPr>
    </w:p>
    <w:p>
      <w:pPr>
        <w:keepNext w:val="0"/>
        <w:keepLines w:val="0"/>
        <w:pageBreakBefore w:val="0"/>
        <w:kinsoku/>
        <w:wordWrap/>
        <w:overflowPunct/>
        <w:topLinePunct w:val="0"/>
        <w:autoSpaceDE/>
        <w:autoSpaceDN/>
        <w:bidi w:val="0"/>
        <w:adjustRightInd/>
        <w:spacing w:line="540" w:lineRule="exact"/>
        <w:jc w:val="center"/>
        <w:textAlignment w:val="auto"/>
        <w:outlineLvl w:val="0"/>
        <w:rPr>
          <w:rFonts w:hint="eastAsia" w:ascii="方正小标宋简体" w:eastAsia="方正小标宋简体"/>
          <w:w w:val="100"/>
          <w:sz w:val="44"/>
        </w:rPr>
      </w:pPr>
      <w:bookmarkStart w:id="2" w:name="_GoBack"/>
      <w:r>
        <w:rPr>
          <w:rFonts w:hint="eastAsia" w:ascii="方正小标宋简体" w:eastAsia="方正小标宋简体"/>
          <w:w w:val="100"/>
          <w:sz w:val="44"/>
        </w:rPr>
        <w:t>赣州市“三线一单”生态环境分区管控方案</w:t>
      </w:r>
    </w:p>
    <w:p>
      <w:pPr>
        <w:keepNext w:val="0"/>
        <w:keepLines w:val="0"/>
        <w:pageBreakBefore w:val="0"/>
        <w:kinsoku/>
        <w:wordWrap/>
        <w:overflowPunct/>
        <w:topLinePunct w:val="0"/>
        <w:autoSpaceDE/>
        <w:autoSpaceDN/>
        <w:bidi w:val="0"/>
        <w:adjustRightInd/>
        <w:spacing w:line="540" w:lineRule="exact"/>
        <w:jc w:val="center"/>
        <w:textAlignment w:val="auto"/>
        <w:outlineLvl w:val="0"/>
        <w:rPr>
          <w:rFonts w:hint="eastAsia" w:ascii="方正小标宋简体" w:hAnsi="Times New Roman" w:eastAsia="方正小标宋简体"/>
          <w:w w:val="100"/>
          <w:sz w:val="44"/>
        </w:rPr>
      </w:pPr>
      <w:r>
        <w:rPr>
          <w:rFonts w:hint="eastAsia" w:ascii="方正小标宋简体" w:hAnsi="Times New Roman" w:eastAsia="方正小标宋简体"/>
          <w:w w:val="100"/>
          <w:sz w:val="44"/>
        </w:rPr>
        <w:t>（</w:t>
      </w:r>
      <w:r>
        <w:rPr>
          <w:rFonts w:hint="eastAsia" w:ascii="方正小标宋简体" w:eastAsia="方正小标宋简体"/>
          <w:w w:val="100"/>
          <w:sz w:val="44"/>
          <w:lang w:val="en-US" w:eastAsia="zh-CN"/>
        </w:rPr>
        <w:t>征求意见</w:t>
      </w:r>
      <w:r>
        <w:rPr>
          <w:rFonts w:hint="eastAsia" w:ascii="方正小标宋简体" w:hAnsi="Times New Roman" w:eastAsia="方正小标宋简体"/>
          <w:w w:val="100"/>
          <w:sz w:val="44"/>
        </w:rPr>
        <w:t>稿）</w:t>
      </w:r>
    </w:p>
    <w:bookmarkEnd w:id="2"/>
    <w:p>
      <w:pPr>
        <w:keepNext w:val="0"/>
        <w:keepLines w:val="0"/>
        <w:pageBreakBefore w:val="0"/>
        <w:widowControl/>
        <w:kinsoku/>
        <w:wordWrap/>
        <w:overflowPunct/>
        <w:topLinePunct w:val="0"/>
        <w:autoSpaceDE/>
        <w:autoSpaceDN/>
        <w:bidi w:val="0"/>
        <w:adjustRightInd/>
        <w:snapToGrid w:val="0"/>
        <w:spacing w:line="540" w:lineRule="exact"/>
        <w:textAlignment w:val="auto"/>
        <w:rPr>
          <w:color w:val="000000"/>
          <w:w w:val="100"/>
          <w:sz w:val="24"/>
        </w:rPr>
      </w:pP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000000"/>
          <w:w w:val="100"/>
        </w:rPr>
      </w:pPr>
      <w:r>
        <w:rPr>
          <w:rFonts w:hint="eastAsia" w:ascii="仿宋_GB2312" w:hAnsi="仿宋_GB2312"/>
          <w:color w:val="000000"/>
          <w:w w:val="100"/>
        </w:rPr>
        <w:t>为认真贯彻《江西省人民政府关于加快实施“三线一单”生态环境分区管控的意见》，全面落实“共抓大保护、不搞大开发”要求，加快打造对接融入粤港澳大湾区桥头堡先行区，加快推动建设革命老区高质量发展示范区，现就我市落实生态保护红线、环境质量底线、资源利用上线，制定生态环境准入清单（以下统称“三线一单”），实施生态环境分区管控，制定本方案。</w:t>
      </w:r>
    </w:p>
    <w:p>
      <w:pPr>
        <w:keepNext w:val="0"/>
        <w:keepLines w:val="0"/>
        <w:pageBreakBefore w:val="0"/>
        <w:kinsoku/>
        <w:wordWrap/>
        <w:overflowPunct/>
        <w:topLinePunct w:val="0"/>
        <w:autoSpaceDE/>
        <w:autoSpaceDN/>
        <w:bidi w:val="0"/>
        <w:adjustRightInd/>
        <w:snapToGrid w:val="0"/>
        <w:spacing w:line="540" w:lineRule="exact"/>
        <w:ind w:firstLine="960" w:firstLineChars="300"/>
        <w:textAlignment w:val="auto"/>
        <w:rPr>
          <w:rFonts w:hint="eastAsia" w:ascii="黑体" w:hAnsi="黑体" w:eastAsia="黑体"/>
          <w:color w:val="000000"/>
          <w:w w:val="100"/>
        </w:rPr>
      </w:pPr>
      <w:r>
        <w:rPr>
          <w:rFonts w:hint="eastAsia" w:ascii="黑体" w:hAnsi="黑体" w:eastAsia="黑体"/>
          <w:color w:val="000000"/>
          <w:w w:val="100"/>
        </w:rPr>
        <w:t>一、总体要求</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b/>
          <w:color w:val="000000"/>
          <w:w w:val="100"/>
        </w:rPr>
      </w:pPr>
      <w:r>
        <w:rPr>
          <w:rFonts w:hint="eastAsia" w:ascii="楷体_GB2312" w:hAnsi="楷体_GB2312" w:eastAsia="楷体_GB2312"/>
          <w:b/>
          <w:color w:val="000000"/>
          <w:w w:val="100"/>
        </w:rPr>
        <w:t>（一）指导思想</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000000"/>
          <w:w w:val="100"/>
        </w:rPr>
      </w:pPr>
      <w:r>
        <w:rPr>
          <w:rFonts w:hint="eastAsia" w:ascii="仿宋_GB2312" w:hAnsi="仿宋_GB2312"/>
          <w:color w:val="auto"/>
          <w:w w:val="100"/>
        </w:rPr>
        <w:t>深入贯彻党的十九大精神，以习近平生态文明思想为指导，坚持生态优先，绿色发展。以改善环境质量为核心，以生态保护红线、环境质量底线、资源利用上线为基础，通过划分环境综合管控单元，制定环境综合管控单元生态环境准入清单，把生态环境管控要求落实到具体管控单元，建立覆盖全市的生</w:t>
      </w:r>
      <w:r>
        <w:rPr>
          <w:rFonts w:hint="eastAsia" w:ascii="仿宋_GB2312" w:hAnsi="仿宋_GB2312"/>
          <w:color w:val="000000"/>
          <w:w w:val="100"/>
        </w:rPr>
        <w:t>态环境分区管控体系。</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楷体_GB2312" w:hAnsi="楷体_GB2312" w:eastAsia="楷体_GB2312"/>
          <w:b/>
          <w:color w:val="000000"/>
          <w:w w:val="100"/>
        </w:rPr>
      </w:pPr>
      <w:r>
        <w:rPr>
          <w:rFonts w:hint="eastAsia" w:ascii="楷体_GB2312" w:hAnsi="楷体_GB2312" w:eastAsia="楷体_GB2312"/>
          <w:b/>
          <w:color w:val="000000"/>
          <w:w w:val="100"/>
        </w:rPr>
        <w:t>（二）基本原则</w:t>
      </w:r>
    </w:p>
    <w:p>
      <w:pPr>
        <w:keepNext w:val="0"/>
        <w:keepLines w:val="0"/>
        <w:pageBreakBefore w:val="0"/>
        <w:kinsoku/>
        <w:wordWrap/>
        <w:overflowPunct/>
        <w:topLinePunct w:val="0"/>
        <w:autoSpaceDE/>
        <w:autoSpaceDN/>
        <w:bidi w:val="0"/>
        <w:adjustRightInd/>
        <w:spacing w:line="540" w:lineRule="exact"/>
        <w:ind w:firstLine="640" w:firstLineChars="200"/>
        <w:textAlignment w:val="auto"/>
        <w:rPr>
          <w:rFonts w:hint="eastAsia" w:ascii="仿宋_GB2312"/>
          <w:w w:val="100"/>
        </w:rPr>
      </w:pPr>
      <w:r>
        <w:rPr>
          <w:rFonts w:hint="eastAsia" w:ascii="仿宋_GB2312"/>
          <w:w w:val="100"/>
        </w:rPr>
        <w:t>坚持保护优先。落实生态保护红线、环境质量底线、资源利用上线</w:t>
      </w:r>
      <w:r>
        <w:rPr>
          <w:rFonts w:hint="eastAsia" w:ascii="仿宋_GB2312" w:hAnsi="仿宋_GB2312"/>
          <w:color w:val="000000"/>
          <w:w w:val="100"/>
        </w:rPr>
        <w:t>硬约束，</w:t>
      </w:r>
      <w:r>
        <w:rPr>
          <w:rFonts w:hint="eastAsia" w:ascii="仿宋_GB2312"/>
          <w:w w:val="100"/>
        </w:rPr>
        <w:t>推动形成绿色发展方式和生活方式。</w:t>
      </w:r>
    </w:p>
    <w:p>
      <w:pPr>
        <w:keepNext w:val="0"/>
        <w:keepLines w:val="0"/>
        <w:pageBreakBefore w:val="0"/>
        <w:kinsoku/>
        <w:wordWrap/>
        <w:overflowPunct/>
        <w:topLinePunct w:val="0"/>
        <w:autoSpaceDE/>
        <w:autoSpaceDN/>
        <w:bidi w:val="0"/>
        <w:adjustRightInd/>
        <w:spacing w:line="540" w:lineRule="exact"/>
        <w:ind w:firstLine="640" w:firstLineChars="200"/>
        <w:textAlignment w:val="auto"/>
        <w:rPr>
          <w:rFonts w:hint="eastAsia" w:ascii="仿宋_GB2312"/>
          <w:w w:val="100"/>
        </w:rPr>
      </w:pPr>
      <w:r>
        <w:rPr>
          <w:rFonts w:hint="eastAsia" w:ascii="仿宋_GB2312"/>
          <w:w w:val="100"/>
        </w:rPr>
        <w:t>坚持分类施策。针对流域、区域、行业特点，聚焦问题和目标，实施生态环境分区管控。</w:t>
      </w:r>
    </w:p>
    <w:p>
      <w:pPr>
        <w:keepNext w:val="0"/>
        <w:keepLines w:val="0"/>
        <w:pageBreakBefore w:val="0"/>
        <w:kinsoku/>
        <w:wordWrap/>
        <w:overflowPunct/>
        <w:topLinePunct w:val="0"/>
        <w:autoSpaceDE/>
        <w:autoSpaceDN/>
        <w:bidi w:val="0"/>
        <w:adjustRightInd/>
        <w:spacing w:line="540" w:lineRule="exact"/>
        <w:ind w:firstLine="640" w:firstLineChars="200"/>
        <w:textAlignment w:val="auto"/>
        <w:rPr>
          <w:rFonts w:hint="eastAsia" w:ascii="仿宋_GB2312"/>
          <w:w w:val="100"/>
        </w:rPr>
      </w:pPr>
      <w:r>
        <w:rPr>
          <w:rFonts w:hint="eastAsia" w:ascii="仿宋_GB2312"/>
          <w:w w:val="100"/>
        </w:rPr>
        <w:t>坚持稳中求进。坚持生态环境管控内容不突破、管理要求不降低，结合经济社会发展新形势和环境质量改善新要求，定期评估调整和动态更新。</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楷体_GB2312" w:hAnsi="楷体_GB2312" w:eastAsia="楷体_GB2312"/>
          <w:b/>
          <w:color w:val="000000"/>
          <w:w w:val="100"/>
        </w:rPr>
      </w:pPr>
      <w:r>
        <w:rPr>
          <w:rFonts w:hint="eastAsia" w:ascii="楷体_GB2312" w:hAnsi="楷体_GB2312" w:eastAsia="楷体_GB2312"/>
          <w:b/>
          <w:color w:val="000000"/>
          <w:w w:val="100"/>
        </w:rPr>
        <w:t>（三）总体目标</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auto"/>
          <w:w w:val="100"/>
        </w:rPr>
      </w:pPr>
      <w:r>
        <w:rPr>
          <w:rFonts w:hint="eastAsia" w:ascii="仿宋_GB2312" w:hAnsi="仿宋_GB2312"/>
          <w:color w:val="auto"/>
          <w:w w:val="100"/>
        </w:rPr>
        <w:t>到2020年，生态环境质量总体改善，环境风险得到有效管控，生态环境保护水平同全面建成小康社会目标相适应。全市PM</w:t>
      </w:r>
      <w:r>
        <w:rPr>
          <w:rFonts w:hint="eastAsia" w:ascii="仿宋_GB2312" w:hAnsi="仿宋_GB2312"/>
          <w:color w:val="auto"/>
          <w:w w:val="100"/>
          <w:vertAlign w:val="subscript"/>
        </w:rPr>
        <w:t>2.5</w:t>
      </w:r>
      <w:r>
        <w:rPr>
          <w:rFonts w:hint="eastAsia" w:ascii="仿宋_GB2312" w:hAnsi="仿宋_GB2312"/>
          <w:color w:val="auto"/>
          <w:w w:val="100"/>
        </w:rPr>
        <w:t>年均浓度达到35ug/m3及以下，地表水省考断面水质优良比例不低于90.9%，受污染地块安全利用率达到90%以上。</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auto"/>
          <w:w w:val="100"/>
        </w:rPr>
      </w:pPr>
      <w:r>
        <w:rPr>
          <w:rFonts w:hint="eastAsia" w:ascii="仿宋_GB2312" w:hAnsi="仿宋_GB2312"/>
          <w:color w:val="auto"/>
          <w:w w:val="100"/>
        </w:rPr>
        <w:t>到2025年，产业结构调整深入推进，生态环境质量持续改善，环境治理体系和治理能力现代化水平明显提升。</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FF0000"/>
          <w:w w:val="100"/>
        </w:rPr>
      </w:pPr>
      <w:r>
        <w:rPr>
          <w:rFonts w:hint="eastAsia" w:ascii="仿宋_GB2312" w:hAnsi="仿宋_GB2312"/>
          <w:color w:val="auto"/>
          <w:w w:val="100"/>
        </w:rPr>
        <w:t>到2035年，节约资源和保护生态环境的空间格局、产业结构、生产方式、生活方式总体形成，生态环境质量得到根本改善，实现生态环境领域治理体系和治理能力现代化。</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黑体" w:hAnsi="黑体" w:eastAsia="黑体"/>
          <w:color w:val="000000"/>
          <w:w w:val="100"/>
        </w:rPr>
      </w:pPr>
      <w:r>
        <w:rPr>
          <w:rFonts w:hint="eastAsia" w:ascii="黑体" w:hAnsi="黑体" w:eastAsia="黑体"/>
          <w:color w:val="000000"/>
          <w:w w:val="100"/>
        </w:rPr>
        <w:t>二、主要技术成果</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楷体_GB2312" w:hAnsi="楷体_GB2312" w:eastAsia="楷体_GB2312"/>
          <w:b/>
          <w:color w:val="000000"/>
          <w:w w:val="100"/>
        </w:rPr>
      </w:pPr>
      <w:r>
        <w:rPr>
          <w:rFonts w:hint="eastAsia" w:ascii="楷体_GB2312" w:hAnsi="楷体_GB2312" w:eastAsia="楷体_GB2312"/>
          <w:b/>
          <w:color w:val="000000"/>
          <w:w w:val="100"/>
        </w:rPr>
        <w:t>（一）划分环境管控单元</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w w:val="100"/>
        </w:rPr>
      </w:pPr>
      <w:r>
        <w:rPr>
          <w:rFonts w:hint="eastAsia" w:ascii="仿宋_GB2312" w:hAnsi="仿宋_GB2312" w:eastAsia="仿宋_GB2312"/>
          <w:color w:val="auto"/>
          <w:kern w:val="0"/>
          <w:sz w:val="32"/>
        </w:rPr>
        <w:t>从生态环境保护角度</w:t>
      </w:r>
      <w:r>
        <w:rPr>
          <w:rFonts w:hint="eastAsia" w:ascii="仿宋_GB2312" w:hAnsi="仿宋_GB2312"/>
          <w:color w:val="auto"/>
          <w:kern w:val="0"/>
          <w:sz w:val="32"/>
          <w:lang w:eastAsia="zh-CN"/>
        </w:rPr>
        <w:t>，</w:t>
      </w:r>
      <w:r>
        <w:rPr>
          <w:rFonts w:hint="eastAsia" w:ascii="仿宋_GB2312" w:hAnsi="仿宋_GB2312" w:eastAsia="仿宋_GB2312"/>
          <w:color w:val="auto"/>
          <w:kern w:val="0"/>
          <w:sz w:val="32"/>
        </w:rPr>
        <w:t>将全市行政区域划分为优先保护、重点管控和一般管控三类环境管控单元共232个。</w:t>
      </w:r>
      <w:r>
        <w:rPr>
          <w:rFonts w:hint="eastAsia" w:ascii="仿宋_GB2312" w:hAnsi="仿宋_GB2312"/>
          <w:w w:val="100"/>
        </w:rPr>
        <w:t>其中优先保护单元37个，约占全市国土面积的35.9%；重点管控单元150个，约占全市国土面积的25.8%；一般管控单元45个，约占全市国土面积的38.3%。</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w w:val="100"/>
        </w:rPr>
      </w:pPr>
      <w:r>
        <w:rPr>
          <w:rFonts w:hint="eastAsia" w:ascii="仿宋_GB2312" w:hAnsi="仿宋_GB2312"/>
          <w:w w:val="100"/>
        </w:rPr>
        <w:t>优先保护单元是指以生态环境保护为主的区域，主要包括赣江及东江源头区、生态屏障区，涉及生态保护红线、自然保护区、饮用水水源保护区、环境空气一类功能区等生态环境敏感区面积占比较高的区域。重点管控单元是指涉及水、大气、土壤、自然资源等资源环境要素重点管控的区域，主要包括各类开发区、城镇规划区以及环境质量改善压力较大的区域。一般管控单元是指除优先保护单元和重点管控单元之外的其他区域。</w:t>
      </w:r>
    </w:p>
    <w:p>
      <w:pPr>
        <w:keepNext w:val="0"/>
        <w:keepLines w:val="0"/>
        <w:pageBreakBefore w:val="0"/>
        <w:numPr>
          <w:ilvl w:val="0"/>
          <w:numId w:val="1"/>
        </w:numPr>
        <w:kinsoku/>
        <w:wordWrap/>
        <w:overflowPunct/>
        <w:topLinePunct w:val="0"/>
        <w:autoSpaceDE/>
        <w:autoSpaceDN/>
        <w:bidi w:val="0"/>
        <w:adjustRightInd/>
        <w:snapToGrid w:val="0"/>
        <w:spacing w:line="540" w:lineRule="exact"/>
        <w:ind w:firstLine="643" w:firstLineChars="200"/>
        <w:textAlignment w:val="auto"/>
        <w:rPr>
          <w:rFonts w:hint="eastAsia" w:ascii="楷体_GB2312" w:hAnsi="楷体_GB2312" w:eastAsia="楷体_GB2312"/>
          <w:b/>
          <w:color w:val="000000"/>
          <w:w w:val="100"/>
        </w:rPr>
      </w:pPr>
      <w:r>
        <w:rPr>
          <w:rFonts w:hint="eastAsia" w:ascii="楷体_GB2312" w:hAnsi="楷体_GB2312" w:eastAsia="楷体_GB2312"/>
          <w:b/>
          <w:color w:val="000000"/>
          <w:w w:val="100"/>
        </w:rPr>
        <w:t>制定生态环境准入清单</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000000"/>
          <w:w w:val="100"/>
        </w:rPr>
      </w:pPr>
      <w:r>
        <w:rPr>
          <w:rFonts w:hint="eastAsia" w:ascii="仿宋_GB2312" w:hAnsi="仿宋_GB2312"/>
          <w:color w:val="000000"/>
          <w:w w:val="100"/>
        </w:rPr>
        <w:t>优先保护单元依法禁止或限制大规模、高强度的工业和城镇开发建设，在符合法律法规和相关规划的前提下，按照保护优先的原则，避免开发建设活动损害所在单元的生态服务功能和生态产品质量；涉及生态保护红线的，按照国家和省相关规定进行管控；在功能受损的优先保护单元优先开展生态保护修复活动，恢复生态系统服务功能。</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000000"/>
          <w:w w:val="100"/>
        </w:rPr>
      </w:pPr>
      <w:r>
        <w:rPr>
          <w:rFonts w:hint="eastAsia" w:ascii="仿宋_GB2312" w:hAnsi="仿宋_GB2312"/>
          <w:color w:val="000000"/>
          <w:w w:val="100"/>
        </w:rPr>
        <w:t>重点管控单元应优化空间和产业布局，结合生态环境质量达标情况以及经济社会发展水平等，按照差别化的生态环境准入要求，加强污染物排放控制和环境风险防控，不断提升资源利用效率，稳步改善生态环境质量。</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仿宋_GB2312" w:hAnsi="仿宋_GB2312"/>
          <w:color w:val="000000"/>
          <w:w w:val="100"/>
        </w:rPr>
      </w:pPr>
      <w:r>
        <w:rPr>
          <w:rFonts w:hint="eastAsia" w:ascii="仿宋_GB2312" w:hAnsi="仿宋_GB2312"/>
          <w:color w:val="000000"/>
          <w:w w:val="100"/>
        </w:rPr>
        <w:t>一般管控单元主要任务是永久基本农田保护及管理、农业农村污染治理和农村人居环境改善，执行生态环境保护的基本要求。</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黑体" w:hAnsi="黑体" w:eastAsia="黑体"/>
          <w:color w:val="000000"/>
          <w:w w:val="100"/>
        </w:rPr>
      </w:pPr>
      <w:r>
        <w:rPr>
          <w:rFonts w:hint="eastAsia" w:ascii="黑体" w:hAnsi="黑体" w:eastAsia="黑体"/>
          <w:color w:val="000000"/>
          <w:w w:val="100"/>
        </w:rPr>
        <w:t>三、成果实施应用</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（一）强化与相关规划衔接。</w:t>
      </w:r>
      <w:r>
        <w:rPr>
          <w:rFonts w:hint="eastAsia" w:ascii="仿宋_GB2312" w:hAnsi="仿宋_GB2312"/>
          <w:color w:val="000000"/>
          <w:w w:val="100"/>
        </w:rPr>
        <w:t>把“三线一单”确定的生态、水、大气、土壤、资源利用等方面管控要求，作为区域生态环境准入和区域环境管理的重要依据。加强与发展规划、国土空间规划以及生态保护红线、永久基本农田、城镇开发边界等协调衔接。</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（二）服务经济高质量发展。</w:t>
      </w:r>
      <w:r>
        <w:rPr>
          <w:rFonts w:hint="eastAsia" w:ascii="仿宋_GB2312" w:hAnsi="仿宋_GB2312"/>
          <w:color w:val="000000"/>
          <w:w w:val="100"/>
        </w:rPr>
        <w:t>各地、各有关部门在制定政策、编制规划、布局产业、调整结构、资源开发、城镇建设和重大项目选址时，应将生态保护红线、环境质量底线、资源利用上线等管控要求融入决策和实施过程，充分发挥“三线一单”源头预防引领作用，以生态环境分区管控推动经济高质量发展。</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（三）支撑生态环境高水平保护。</w:t>
      </w:r>
      <w:r>
        <w:rPr>
          <w:rFonts w:hint="eastAsia" w:ascii="仿宋_GB2312" w:hAnsi="仿宋_GB2312"/>
          <w:color w:val="000000"/>
          <w:w w:val="100"/>
        </w:rPr>
        <w:t>各地、各有关部门应将生态环境分区管控作为推进污染防治、生态保护、环境风险防控等工作的重要依据，将优先保护单元和重点管控单元作为生态环境监管的重点区域，将生态环境分区管控要求作为生态环境监管的重要内容。全市环评、排污许可、生态、水、大气、土壤、固体废物、辐射等环境管理工作应严格落实生态环境分区管控要求。</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（四）实施动态更新调整。</w:t>
      </w:r>
      <w:r>
        <w:rPr>
          <w:rFonts w:hint="eastAsia" w:ascii="仿宋_GB2312" w:hAnsi="仿宋_GB2312"/>
          <w:color w:val="000000"/>
          <w:w w:val="100"/>
        </w:rPr>
        <w:t>原则上每5年开展一次“三线一单”实施情况评估，根据各地、各有关部门提出的更新调整意见，编制“三线一单”更新调整方案，并按规定报批发布。5年内因国家与地方发展战略、生态保护红线、自然保护地和生态环境质量目标调整，各地、各有关部门认为“三线一单”需更新调整的，</w:t>
      </w:r>
      <w:r>
        <w:rPr>
          <w:rFonts w:hint="eastAsia" w:ascii="仿宋_GB2312" w:hAnsi="仿宋_GB2312"/>
          <w:color w:val="000000"/>
          <w:w w:val="100"/>
          <w:lang w:eastAsia="zh-CN"/>
        </w:rPr>
        <w:t>按更新内容分类实施：更新内容涉及省级成果和管控要求调整的，按省级更新程序要求执行；更新内容仅涉及市级成果和管控要求调整的，</w:t>
      </w:r>
      <w:r>
        <w:rPr>
          <w:rFonts w:hint="eastAsia" w:ascii="仿宋_GB2312" w:hAnsi="仿宋_GB2312"/>
          <w:color w:val="000000"/>
          <w:w w:val="100"/>
        </w:rPr>
        <w:t>由</w:t>
      </w:r>
      <w:r>
        <w:rPr>
          <w:rFonts w:hint="eastAsia" w:ascii="仿宋_GB2312" w:hAnsi="仿宋_GB2312"/>
          <w:color w:val="000000"/>
          <w:w w:val="100"/>
          <w:lang w:eastAsia="zh-CN"/>
        </w:rPr>
        <w:t>相关县（市、区）人民政府、市直相关部门向发布主体</w:t>
      </w:r>
      <w:r>
        <w:rPr>
          <w:rFonts w:hint="eastAsia" w:ascii="仿宋_GB2312" w:hAnsi="仿宋_GB2312"/>
          <w:color w:val="000000"/>
          <w:w w:val="100"/>
        </w:rPr>
        <w:t>提出调整申请</w:t>
      </w:r>
      <w:r>
        <w:rPr>
          <w:rFonts w:hint="eastAsia" w:ascii="仿宋_GB2312" w:hAnsi="仿宋_GB2312"/>
          <w:color w:val="000000"/>
          <w:w w:val="100"/>
          <w:lang w:eastAsia="zh-CN"/>
        </w:rPr>
        <w:t>，调整方案经审核后，由发布主体批准实施</w:t>
      </w:r>
      <w:r>
        <w:rPr>
          <w:rFonts w:hint="eastAsia" w:ascii="仿宋_GB2312" w:hAnsi="仿宋_GB2312"/>
          <w:color w:val="000000"/>
          <w:w w:val="100"/>
        </w:rPr>
        <w:t>。更新调整后的生态环境分区管控数据要按程序和要求，及时报省生态环境厅备案并上传至“三线一单”数据共享系统。</w:t>
      </w:r>
    </w:p>
    <w:p>
      <w:pPr>
        <w:keepNext w:val="0"/>
        <w:keepLines w:val="0"/>
        <w:pageBreakBefore w:val="0"/>
        <w:kinsoku/>
        <w:wordWrap/>
        <w:overflowPunct/>
        <w:topLinePunct w:val="0"/>
        <w:autoSpaceDE/>
        <w:autoSpaceDN/>
        <w:bidi w:val="0"/>
        <w:adjustRightInd/>
        <w:snapToGrid w:val="0"/>
        <w:spacing w:line="540" w:lineRule="exact"/>
        <w:ind w:firstLine="640" w:firstLineChars="200"/>
        <w:textAlignment w:val="auto"/>
        <w:rPr>
          <w:rFonts w:hint="eastAsia" w:ascii="黑体" w:hAnsi="黑体" w:eastAsia="黑体"/>
          <w:color w:val="000000"/>
          <w:w w:val="100"/>
        </w:rPr>
      </w:pPr>
      <w:r>
        <w:rPr>
          <w:rFonts w:hint="eastAsia" w:ascii="黑体" w:hAnsi="黑体" w:eastAsia="黑体"/>
          <w:color w:val="000000"/>
          <w:w w:val="100"/>
        </w:rPr>
        <w:t>四、强化保障措施</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（一）加强组织领导。</w:t>
      </w:r>
      <w:r>
        <w:rPr>
          <w:rFonts w:hint="eastAsia" w:ascii="仿宋_GB2312" w:hAnsi="仿宋_GB2312"/>
          <w:color w:val="000000"/>
          <w:w w:val="100"/>
        </w:rPr>
        <w:t>市长江经济带战略环境评价工作协调领导小组成员单位各司其职，协同推进生态环境分区管控体系的建设、实施、评估和调整工作。各县（市、区）政府、赣州经开区管委会、蓉江新区管委会落实主体责任，扎实推进生态环境分区管控体系的优化完善和应用实施工作。</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（二）强化工作保障。</w:t>
      </w:r>
      <w:r>
        <w:rPr>
          <w:rFonts w:hint="eastAsia" w:ascii="仿宋_GB2312" w:hAnsi="仿宋_GB2312"/>
          <w:color w:val="000000"/>
          <w:w w:val="100"/>
        </w:rPr>
        <w:t>市、县人民政府，赣州经开区管委会、蓉江新区管委会要组建长期稳定的管理技术队伍，落实好工作经费，保障生态环境分区管控各项工作顺利实施。</w:t>
      </w:r>
    </w:p>
    <w:p>
      <w:pPr>
        <w:keepNext w:val="0"/>
        <w:keepLines w:val="0"/>
        <w:pageBreakBefore w:val="0"/>
        <w:kinsoku/>
        <w:wordWrap/>
        <w:overflowPunct/>
        <w:topLinePunct w:val="0"/>
        <w:autoSpaceDE/>
        <w:autoSpaceDN/>
        <w:bidi w:val="0"/>
        <w:adjustRightInd/>
        <w:snapToGrid w:val="0"/>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rPr>
        <w:t>（三）</w:t>
      </w:r>
      <w:r>
        <w:rPr>
          <w:rFonts w:hint="eastAsia" w:ascii="楷体_GB2312" w:hAnsi="楷体_GB2312" w:eastAsia="楷体_GB2312"/>
          <w:b/>
          <w:color w:val="000000"/>
          <w:w w:val="100"/>
          <w:lang w:val="zh-CN"/>
        </w:rPr>
        <w:t>强化监督考核。</w:t>
      </w:r>
      <w:r>
        <w:rPr>
          <w:rFonts w:hint="eastAsia" w:ascii="仿宋_GB2312" w:hAnsi="仿宋_GB2312"/>
          <w:color w:val="000000"/>
          <w:w w:val="100"/>
          <w:lang w:val="zh-CN"/>
        </w:rPr>
        <w:t>建立健全“三线一单”应用成果评估和监督考核机制，</w:t>
      </w:r>
      <w:r>
        <w:rPr>
          <w:rFonts w:hint="eastAsia" w:ascii="仿宋_GB2312" w:hAnsi="仿宋_GB2312"/>
          <w:color w:val="000000"/>
          <w:w w:val="100"/>
        </w:rPr>
        <w:t>将各地</w:t>
      </w:r>
      <w:r>
        <w:rPr>
          <w:rFonts w:hint="eastAsia" w:ascii="仿宋_GB2312" w:hAnsi="仿宋_GB2312"/>
          <w:color w:val="000000"/>
          <w:w w:val="100"/>
          <w:lang w:eastAsia="zh-CN"/>
        </w:rPr>
        <w:t>、</w:t>
      </w:r>
      <w:r>
        <w:rPr>
          <w:rFonts w:hint="eastAsia" w:ascii="仿宋_GB2312" w:hAnsi="仿宋_GB2312"/>
          <w:color w:val="000000"/>
          <w:w w:val="100"/>
        </w:rPr>
        <w:t>各单位实施“三线一单”情况纳入生态环境保护督察重要内容，定期跟踪评估实施成效，加强监督考核。</w:t>
      </w:r>
    </w:p>
    <w:p>
      <w:pPr>
        <w:keepNext w:val="0"/>
        <w:keepLines w:val="0"/>
        <w:pageBreakBefore w:val="0"/>
        <w:kinsoku/>
        <w:wordWrap/>
        <w:overflowPunct/>
        <w:topLinePunct w:val="0"/>
        <w:autoSpaceDE/>
        <w:autoSpaceDN/>
        <w:bidi w:val="0"/>
        <w:adjustRightInd/>
        <w:spacing w:line="540" w:lineRule="exact"/>
        <w:ind w:firstLine="643" w:firstLineChars="200"/>
        <w:textAlignment w:val="auto"/>
        <w:rPr>
          <w:rFonts w:hint="eastAsia" w:ascii="仿宋_GB2312" w:hAnsi="仿宋_GB2312"/>
          <w:color w:val="000000"/>
          <w:w w:val="100"/>
        </w:rPr>
      </w:pPr>
      <w:r>
        <w:rPr>
          <w:rFonts w:hint="eastAsia" w:ascii="楷体_GB2312" w:hAnsi="楷体_GB2312" w:eastAsia="楷体_GB2312"/>
          <w:b/>
          <w:color w:val="000000"/>
          <w:w w:val="100"/>
          <w:lang w:val="zh-CN"/>
        </w:rPr>
        <w:t>（四）加强宣传培训。</w:t>
      </w:r>
      <w:r>
        <w:rPr>
          <w:rFonts w:hint="eastAsia" w:ascii="仿宋_GB2312" w:hAnsi="仿宋_GB2312"/>
          <w:color w:val="000000"/>
          <w:w w:val="100"/>
        </w:rPr>
        <w:t>结合</w:t>
      </w:r>
      <w:r>
        <w:rPr>
          <w:rFonts w:hint="eastAsia" w:ascii="仿宋_GB2312" w:hAnsi="仿宋_GB2312"/>
          <w:color w:val="000000"/>
          <w:w w:val="100"/>
          <w:lang w:eastAsia="zh-CN"/>
        </w:rPr>
        <w:t>环境管理需求</w:t>
      </w:r>
      <w:r>
        <w:rPr>
          <w:rFonts w:hint="eastAsia" w:ascii="仿宋_GB2312" w:hAnsi="仿宋_GB2312"/>
          <w:color w:val="000000"/>
          <w:w w:val="100"/>
        </w:rPr>
        <w:t>，各地充分运用多种形式广泛开展宣传培训，</w:t>
      </w:r>
      <w:r>
        <w:rPr>
          <w:rFonts w:hint="eastAsia" w:ascii="仿宋_GB2312" w:hAnsi="仿宋_GB2312"/>
          <w:color w:val="000000"/>
          <w:w w:val="100"/>
          <w:lang w:eastAsia="zh-CN"/>
        </w:rPr>
        <w:t>扩大企业公众知晓度，主动接受社会监督，</w:t>
      </w:r>
      <w:r>
        <w:rPr>
          <w:rFonts w:hint="eastAsia" w:ascii="仿宋_GB2312" w:hAnsi="仿宋_GB2312"/>
          <w:color w:val="000000"/>
          <w:w w:val="100"/>
        </w:rPr>
        <w:t>切实推动</w:t>
      </w:r>
      <w:r>
        <w:rPr>
          <w:rFonts w:hint="eastAsia" w:ascii="仿宋_GB2312" w:hAnsi="仿宋_GB2312"/>
          <w:color w:val="000000"/>
          <w:w w:val="100"/>
          <w:lang w:eastAsia="zh-CN"/>
        </w:rPr>
        <w:t>“三线一单”</w:t>
      </w:r>
      <w:r>
        <w:rPr>
          <w:rFonts w:hint="eastAsia" w:ascii="仿宋_GB2312" w:hAnsi="仿宋_GB2312"/>
          <w:color w:val="000000"/>
          <w:w w:val="100"/>
        </w:rPr>
        <w:t>生态环境分区管控体系应用实施。</w:t>
      </w:r>
    </w:p>
    <w:p>
      <w:pPr>
        <w:keepNext w:val="0"/>
        <w:keepLines w:val="0"/>
        <w:pageBreakBefore w:val="0"/>
        <w:numPr>
          <w:ilvl w:val="0"/>
          <w:numId w:val="0"/>
        </w:numPr>
        <w:kinsoku/>
        <w:wordWrap/>
        <w:overflowPunct/>
        <w:topLinePunct w:val="0"/>
        <w:autoSpaceDE/>
        <w:autoSpaceDN/>
        <w:bidi w:val="0"/>
        <w:adjustRightInd/>
        <w:snapToGrid w:val="0"/>
        <w:spacing w:line="540" w:lineRule="exact"/>
        <w:ind w:firstLine="640" w:firstLineChars="200"/>
        <w:jc w:val="both"/>
        <w:textAlignment w:val="auto"/>
        <w:rPr>
          <w:rFonts w:hint="eastAsia" w:ascii="仿宋_GB2312" w:hAnsi="仿宋_GB2312"/>
          <w:color w:val="000000"/>
          <w:w w:val="100"/>
        </w:rPr>
      </w:pPr>
      <w:r>
        <w:rPr>
          <w:rFonts w:ascii="仿宋_GB2312" w:hAnsi="仿宋_GB2312"/>
          <w:color w:val="000000"/>
          <w:w w:val="100"/>
        </w:rPr>
        <w:t>附件：</w:t>
      </w:r>
      <w:r>
        <w:rPr>
          <w:rFonts w:hint="eastAsia" w:ascii="仿宋_GB2312" w:hAnsi="仿宋_GB2312"/>
          <w:color w:val="000000"/>
          <w:w w:val="100"/>
          <w:lang w:val="en-US" w:eastAsia="zh-CN"/>
        </w:rPr>
        <w:t>1.</w:t>
      </w:r>
      <w:r>
        <w:rPr>
          <w:rFonts w:hint="eastAsia" w:ascii="仿宋_GB2312" w:hAnsi="仿宋_GB2312"/>
          <w:color w:val="000000"/>
          <w:w w:val="100"/>
        </w:rPr>
        <w:t>赣州市生态环境总体准入清单</w:t>
      </w:r>
    </w:p>
    <w:p>
      <w:pPr>
        <w:keepNext w:val="0"/>
        <w:keepLines w:val="0"/>
        <w:pageBreakBefore w:val="0"/>
        <w:numPr>
          <w:ilvl w:val="0"/>
          <w:numId w:val="0"/>
        </w:numPr>
        <w:kinsoku/>
        <w:wordWrap/>
        <w:overflowPunct/>
        <w:topLinePunct w:val="0"/>
        <w:autoSpaceDE/>
        <w:autoSpaceDN/>
        <w:bidi w:val="0"/>
        <w:adjustRightInd/>
        <w:snapToGrid w:val="0"/>
        <w:spacing w:line="540" w:lineRule="exact"/>
        <w:ind w:firstLine="1600" w:firstLineChars="500"/>
        <w:jc w:val="both"/>
        <w:textAlignment w:val="auto"/>
        <w:rPr>
          <w:rFonts w:hint="eastAsia" w:ascii="仿宋_GB2312" w:hAnsi="仿宋_GB2312"/>
          <w:color w:val="000000"/>
          <w:w w:val="100"/>
        </w:rPr>
      </w:pPr>
      <w:r>
        <w:rPr>
          <w:rFonts w:hint="eastAsia" w:ascii="仿宋_GB2312" w:hAnsi="仿宋_GB2312"/>
          <w:color w:val="000000"/>
          <w:w w:val="100"/>
          <w:lang w:val="en-US" w:eastAsia="zh-CN"/>
        </w:rPr>
        <w:t>2.</w:t>
      </w:r>
      <w:r>
        <w:rPr>
          <w:rFonts w:hint="eastAsia" w:ascii="仿宋_GB2312" w:hAnsi="仿宋_GB2312"/>
          <w:color w:val="000000"/>
          <w:w w:val="100"/>
        </w:rPr>
        <w:t>赣州市环境综合管控单元分布图</w:t>
      </w:r>
    </w:p>
    <w:p>
      <w:pPr>
        <w:keepNext w:val="0"/>
        <w:keepLines w:val="0"/>
        <w:pageBreakBefore w:val="0"/>
        <w:numPr>
          <w:ilvl w:val="0"/>
          <w:numId w:val="0"/>
        </w:numPr>
        <w:kinsoku/>
        <w:wordWrap/>
        <w:overflowPunct/>
        <w:topLinePunct w:val="0"/>
        <w:autoSpaceDE/>
        <w:autoSpaceDN/>
        <w:bidi w:val="0"/>
        <w:adjustRightInd/>
        <w:snapToGrid w:val="0"/>
        <w:spacing w:line="540" w:lineRule="exact"/>
        <w:ind w:firstLine="1600" w:firstLineChars="500"/>
        <w:jc w:val="both"/>
        <w:textAlignment w:val="auto"/>
        <w:rPr>
          <w:rFonts w:hint="eastAsia" w:ascii="仿宋_GB2312" w:hAnsi="仿宋_GB2312"/>
          <w:color w:val="000000"/>
          <w:w w:val="100"/>
        </w:rPr>
      </w:pPr>
      <w:r>
        <w:rPr>
          <w:rFonts w:hint="eastAsia" w:ascii="仿宋_GB2312" w:hAnsi="仿宋_GB2312"/>
          <w:color w:val="000000"/>
          <w:w w:val="100"/>
          <w:lang w:val="en-US" w:eastAsia="zh-CN"/>
        </w:rPr>
        <w:t>3.</w:t>
      </w:r>
      <w:r>
        <w:rPr>
          <w:rFonts w:hint="eastAsia" w:ascii="仿宋_GB2312" w:hAnsi="仿宋_GB2312"/>
          <w:color w:val="000000"/>
          <w:w w:val="100"/>
        </w:rPr>
        <w:t>赣州市环境综合管控单元划定表</w:t>
      </w:r>
    </w:p>
    <w:p>
      <w:pPr>
        <w:keepNext w:val="0"/>
        <w:keepLines w:val="0"/>
        <w:pageBreakBefore w:val="0"/>
        <w:numPr>
          <w:ilvl w:val="0"/>
          <w:numId w:val="0"/>
        </w:numPr>
        <w:kinsoku/>
        <w:wordWrap/>
        <w:overflowPunct/>
        <w:topLinePunct w:val="0"/>
        <w:autoSpaceDE/>
        <w:autoSpaceDN/>
        <w:bidi w:val="0"/>
        <w:adjustRightInd/>
        <w:snapToGrid w:val="0"/>
        <w:spacing w:line="540" w:lineRule="exact"/>
        <w:jc w:val="both"/>
        <w:textAlignment w:val="auto"/>
        <w:rPr>
          <w:rFonts w:hint="eastAsia" w:ascii="仿宋_GB2312" w:hAnsi="仿宋_GB2312"/>
          <w:color w:val="000000"/>
          <w:w w:val="100"/>
        </w:rPr>
      </w:pPr>
    </w:p>
    <w:p>
      <w:pPr>
        <w:keepNext w:val="0"/>
        <w:keepLines w:val="0"/>
        <w:pageBreakBefore w:val="0"/>
        <w:numPr>
          <w:ilvl w:val="0"/>
          <w:numId w:val="0"/>
        </w:numPr>
        <w:kinsoku/>
        <w:wordWrap/>
        <w:overflowPunct/>
        <w:topLinePunct w:val="0"/>
        <w:autoSpaceDE/>
        <w:autoSpaceDN/>
        <w:bidi w:val="0"/>
        <w:adjustRightInd/>
        <w:snapToGrid w:val="0"/>
        <w:spacing w:line="540" w:lineRule="exact"/>
        <w:ind w:firstLine="5760" w:firstLineChars="1800"/>
        <w:jc w:val="both"/>
        <w:textAlignment w:val="auto"/>
        <w:rPr>
          <w:rFonts w:hint="eastAsia" w:ascii="仿宋_GB2312" w:hAnsi="仿宋_GB2312"/>
          <w:color w:val="FF0000"/>
          <w:w w:val="100"/>
        </w:rPr>
      </w:pPr>
      <w:r>
        <w:rPr>
          <w:rFonts w:hint="eastAsia" w:ascii="仿宋_GB2312" w:hAnsi="仿宋_GB2312"/>
          <w:w w:val="100"/>
        </w:rPr>
        <w:t>2020年12月  日　</w:t>
      </w:r>
      <w:r>
        <w:rPr>
          <w:rFonts w:hint="eastAsia" w:ascii="仿宋_GB2312" w:hAnsi="仿宋_GB2312"/>
          <w:color w:val="FF0000"/>
          <w:w w:val="100"/>
        </w:rPr>
        <w:t>　</w:t>
      </w:r>
    </w:p>
    <w:p>
      <w:pPr>
        <w:keepNext w:val="0"/>
        <w:keepLines w:val="0"/>
        <w:pageBreakBefore w:val="0"/>
        <w:kinsoku/>
        <w:wordWrap/>
        <w:overflowPunct/>
        <w:topLinePunct w:val="0"/>
        <w:autoSpaceDE/>
        <w:autoSpaceDN/>
        <w:bidi w:val="0"/>
        <w:adjustRightInd/>
        <w:snapToGrid w:val="0"/>
        <w:spacing w:line="540" w:lineRule="exact"/>
        <w:textAlignment w:val="auto"/>
        <w:rPr>
          <w:rFonts w:hint="eastAsia" w:ascii="仿宋_GB2312" w:hAnsi="仿宋_GB2312"/>
          <w:color w:val="000000"/>
          <w:w w:val="100"/>
        </w:rPr>
      </w:pPr>
      <w:r>
        <w:rPr>
          <w:rFonts w:hint="eastAsia" w:ascii="仿宋_GB2312" w:hAnsi="仿宋_GB2312"/>
          <w:color w:val="000000"/>
          <w:w w:val="100"/>
        </w:rPr>
        <w:t>（此件主动公开）</w:t>
      </w:r>
    </w:p>
    <w:p>
      <w:pPr>
        <w:keepNext w:val="0"/>
        <w:keepLines w:val="0"/>
        <w:pageBreakBefore w:val="0"/>
        <w:widowControl/>
        <w:kinsoku/>
        <w:wordWrap/>
        <w:overflowPunct/>
        <w:topLinePunct w:val="0"/>
        <w:autoSpaceDE/>
        <w:autoSpaceDN/>
        <w:bidi w:val="0"/>
        <w:adjustRightInd/>
        <w:snapToGrid w:val="0"/>
        <w:spacing w:line="540" w:lineRule="exact"/>
        <w:textAlignment w:val="auto"/>
        <w:rPr>
          <w:rFonts w:ascii="黑体" w:hAnsi="黑体" w:eastAsia="黑体"/>
          <w:w w:val="100"/>
          <w:szCs w:val="32"/>
        </w:rPr>
        <w:sectPr>
          <w:pgSz w:w="11906" w:h="16838"/>
          <w:pgMar w:top="2098" w:right="1531" w:bottom="1985" w:left="1531" w:header="0" w:footer="1701" w:gutter="0"/>
          <w:cols w:space="720" w:num="1"/>
          <w:docGrid w:type="lines" w:linePitch="435" w:charSpace="0"/>
        </w:sectPr>
      </w:pPr>
    </w:p>
    <w:p>
      <w:pPr>
        <w:widowControl/>
        <w:snapToGrid w:val="0"/>
        <w:spacing w:line="560" w:lineRule="exact"/>
        <w:rPr>
          <w:rFonts w:hint="eastAsia" w:ascii="黑体" w:hAnsi="黑体" w:eastAsia="黑体"/>
          <w:w w:val="100"/>
          <w:szCs w:val="32"/>
        </w:rPr>
      </w:pPr>
      <w:r>
        <w:rPr>
          <w:rFonts w:hint="eastAsia" w:ascii="黑体" w:hAnsi="黑体" w:eastAsia="黑体"/>
          <w:w w:val="100"/>
          <w:szCs w:val="32"/>
        </w:rPr>
        <w:t>附件1</w:t>
      </w:r>
    </w:p>
    <w:p>
      <w:pPr>
        <w:spacing w:after="217" w:afterLines="50" w:line="600" w:lineRule="exact"/>
        <w:jc w:val="center"/>
        <w:outlineLvl w:val="0"/>
        <w:rPr>
          <w:rFonts w:hint="eastAsia" w:ascii="方正小标宋简体" w:eastAsia="方正小标宋简体"/>
          <w:w w:val="100"/>
          <w:sz w:val="44"/>
          <w:szCs w:val="44"/>
        </w:rPr>
      </w:pPr>
      <w:r>
        <w:rPr>
          <w:rFonts w:hint="eastAsia" w:ascii="方正小标宋简体" w:eastAsia="方正小标宋简体"/>
          <w:w w:val="100"/>
          <w:sz w:val="44"/>
          <w:szCs w:val="44"/>
        </w:rPr>
        <w:t>赣州市生态环境总体准入清单</w:t>
      </w:r>
    </w:p>
    <w:tbl>
      <w:tblPr>
        <w:tblStyle w:val="3"/>
        <w:tblW w:w="13303" w:type="dxa"/>
        <w:tblInd w:w="-113" w:type="dxa"/>
        <w:tblLayout w:type="fixed"/>
        <w:tblCellMar>
          <w:top w:w="0" w:type="dxa"/>
          <w:left w:w="108" w:type="dxa"/>
          <w:bottom w:w="0" w:type="dxa"/>
          <w:right w:w="108" w:type="dxa"/>
        </w:tblCellMar>
      </w:tblPr>
      <w:tblGrid>
        <w:gridCol w:w="995"/>
        <w:gridCol w:w="2051"/>
        <w:gridCol w:w="1003"/>
        <w:gridCol w:w="9254"/>
      </w:tblGrid>
      <w:tr>
        <w:tblPrEx>
          <w:tblLayout w:type="fixed"/>
          <w:tblCellMar>
            <w:top w:w="0" w:type="dxa"/>
            <w:left w:w="108" w:type="dxa"/>
            <w:bottom w:w="0" w:type="dxa"/>
            <w:right w:w="108" w:type="dxa"/>
          </w:tblCellMar>
        </w:tblPrEx>
        <w:trPr>
          <w:trHeight w:val="454" w:hRule="atLeast"/>
          <w:tblHeader/>
        </w:trPr>
        <w:tc>
          <w:tcPr>
            <w:tcW w:w="99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bookmarkStart w:id="0" w:name="_Hlk54441765"/>
            <w:r>
              <w:rPr>
                <w:rFonts w:hint="eastAsia" w:ascii="仿宋_GB2312" w:hAnsi="仿宋_GB2312" w:cs="仿宋_GB2312"/>
                <w:color w:val="auto"/>
                <w:w w:val="100"/>
                <w:kern w:val="0"/>
                <w:sz w:val="30"/>
                <w:szCs w:val="30"/>
              </w:rPr>
              <w:t>维度</w:t>
            </w:r>
          </w:p>
        </w:tc>
        <w:tc>
          <w:tcPr>
            <w:tcW w:w="2051" w:type="dxa"/>
            <w:tcBorders>
              <w:top w:val="single" w:color="auto" w:sz="4" w:space="0"/>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清单编制要求</w:t>
            </w:r>
          </w:p>
        </w:tc>
        <w:tc>
          <w:tcPr>
            <w:tcW w:w="1003" w:type="dxa"/>
            <w:tcBorders>
              <w:top w:val="single" w:color="auto" w:sz="4" w:space="0"/>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序号</w:t>
            </w:r>
          </w:p>
        </w:tc>
        <w:tc>
          <w:tcPr>
            <w:tcW w:w="9254" w:type="dxa"/>
            <w:tcBorders>
              <w:top w:val="single" w:color="auto" w:sz="4" w:space="0"/>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准入要求</w:t>
            </w:r>
          </w:p>
        </w:tc>
      </w:tr>
      <w:tr>
        <w:tblPrEx>
          <w:tblLayout w:type="fixed"/>
          <w:tblCellMar>
            <w:top w:w="0" w:type="dxa"/>
            <w:left w:w="108" w:type="dxa"/>
            <w:bottom w:w="0" w:type="dxa"/>
            <w:right w:w="108" w:type="dxa"/>
          </w:tblCellMar>
        </w:tblPrEx>
        <w:trPr>
          <w:trHeight w:val="454" w:hRule="atLeast"/>
        </w:trPr>
        <w:tc>
          <w:tcPr>
            <w:tcW w:w="995"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空间布局约束</w:t>
            </w:r>
          </w:p>
        </w:tc>
        <w:tc>
          <w:tcPr>
            <w:tcW w:w="2051" w:type="dxa"/>
            <w:vMerge w:val="restart"/>
            <w:tcBorders>
              <w:top w:val="nil"/>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禁止开发建设活动的要求</w:t>
            </w:r>
          </w:p>
        </w:tc>
        <w:tc>
          <w:tcPr>
            <w:tcW w:w="1003" w:type="dxa"/>
            <w:vMerge w:val="restart"/>
            <w:tcBorders>
              <w:top w:val="nil"/>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、禁止新建、改扩建《产业结构调整指导目录》规定的淘汰类产业。</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大余县、上犹县、崇义县、龙南市、全南县、定南县、安远县和寻乌县禁止新建、改扩建江西省国家重点生态功能区产业准入负面清单（第一批）中禁止类项目；石城县禁止新建、改扩建江西省国家重点生态功能区产业准入负面清单（第二批）中禁止类项目。</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3</w:t>
            </w:r>
            <w:r>
              <w:rPr>
                <w:rFonts w:hint="eastAsia" w:ascii="仿宋_GB2312" w:hAnsi="仿宋_GB2312" w:cs="仿宋_GB2312"/>
                <w:color w:val="auto"/>
                <w:w w:val="100"/>
                <w:kern w:val="0"/>
                <w:sz w:val="30"/>
                <w:szCs w:val="30"/>
              </w:rPr>
              <w:t>、东江（定南水）源、东江（寻乌水）源、赣江（章江）源、赣江（贡江）源源头区内禁止新建污染企业等不符合源头保护区生态功能定位的活动。</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4</w:t>
            </w:r>
            <w:r>
              <w:rPr>
                <w:rFonts w:hint="eastAsia" w:ascii="仿宋_GB2312" w:hAnsi="仿宋_GB2312" w:cs="仿宋_GB2312"/>
                <w:color w:val="auto"/>
                <w:w w:val="100"/>
                <w:kern w:val="0"/>
                <w:sz w:val="30"/>
                <w:szCs w:val="30"/>
              </w:rPr>
              <w:t>、不得引进产业规划禁止类项目进入园区。</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5</w:t>
            </w:r>
            <w:r>
              <w:rPr>
                <w:rFonts w:hint="eastAsia" w:ascii="仿宋_GB2312" w:hAnsi="仿宋_GB2312" w:cs="仿宋_GB2312"/>
                <w:color w:val="auto"/>
                <w:w w:val="100"/>
                <w:kern w:val="0"/>
                <w:sz w:val="30"/>
                <w:szCs w:val="30"/>
              </w:rPr>
              <w:t>、禁养区禁止建设养殖场或禁止建设有污染物排放的养殖场。</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6</w:t>
            </w:r>
            <w:r>
              <w:rPr>
                <w:rFonts w:hint="eastAsia" w:ascii="仿宋_GB2312" w:hAnsi="仿宋_GB2312" w:cs="仿宋_GB2312"/>
                <w:color w:val="auto"/>
                <w:w w:val="100"/>
                <w:kern w:val="0"/>
                <w:sz w:val="30"/>
                <w:szCs w:val="30"/>
              </w:rPr>
              <w:t>、生态保护红线内，自然保护地核心保护区原则上禁止人为活动。</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restart"/>
            <w:tcBorders>
              <w:top w:val="nil"/>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限制开发建设活动的要求</w:t>
            </w:r>
          </w:p>
        </w:tc>
        <w:tc>
          <w:tcPr>
            <w:tcW w:w="1003" w:type="dxa"/>
            <w:tcBorders>
              <w:top w:val="nil"/>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不得新建规模不符合各行业准入条件中的项目。</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tcBorders>
              <w:top w:val="nil"/>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3</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不得新建《国家淘汰落后生产能力、工艺和产品的目录》等名录中淘汰工艺和装备。</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4</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江西省国家重点生态功能区产业准入负面清单（第一批）中限制类项目，大余县、上犹县、崇义县、龙南市、全南县、定南县、安远县和寻乌县按准入条件建设；江西省国家重点生态功能区产业准入负面清单（第二批）中限制类项目，石城县按准入条件建设。</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矿产资源禁止开采区：区内实行生态环境保护优先，原则上不得新设固体矿产的矿业权。对生态环境无影响或影响较小的地热、矿泉水等液体矿产，在征得相关部门同意后可设置矿业权。建立动态巡查和监管制度，有效防止违法违规采矿活动。</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5</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不得在集中供水工程和饮用水水源一级保护区内建设与供水设施和水源保护无关的建设项目。</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restart"/>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不符合空间布局要求活动的退出要求</w:t>
            </w:r>
          </w:p>
        </w:tc>
        <w:tc>
          <w:tcPr>
            <w:tcW w:w="1003" w:type="dxa"/>
            <w:vMerge w:val="restart"/>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6</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、现有生态红线内不符合生态功能活动限期退出或关停。</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、现有集中供水工程和饮用水水源一级保护区内与供水设施和水源保护无关的建设项目限期退出或关停。</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top w:val="single" w:color="auto" w:sz="4" w:space="0"/>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3</w:t>
            </w:r>
            <w:r>
              <w:rPr>
                <w:rFonts w:hint="eastAsia" w:ascii="仿宋_GB2312" w:hAnsi="仿宋_GB2312" w:cs="仿宋_GB2312"/>
                <w:color w:val="auto"/>
                <w:w w:val="100"/>
                <w:kern w:val="0"/>
                <w:sz w:val="30"/>
                <w:szCs w:val="30"/>
              </w:rPr>
              <w:t>、现有禁养区内的畜禽养殖场（小区）和养殖业户应限期退出或关停。</w:t>
            </w:r>
          </w:p>
        </w:tc>
      </w:tr>
      <w:tr>
        <w:tblPrEx>
          <w:tblLayout w:type="fixed"/>
          <w:tblCellMar>
            <w:top w:w="0" w:type="dxa"/>
            <w:left w:w="108" w:type="dxa"/>
            <w:bottom w:w="0" w:type="dxa"/>
            <w:right w:w="108" w:type="dxa"/>
          </w:tblCellMar>
        </w:tblPrEx>
        <w:trPr>
          <w:trHeight w:val="454" w:hRule="atLeast"/>
        </w:trPr>
        <w:tc>
          <w:tcPr>
            <w:tcW w:w="995"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污染物排放管控</w:t>
            </w:r>
          </w:p>
        </w:tc>
        <w:tc>
          <w:tcPr>
            <w:tcW w:w="2051" w:type="dxa"/>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允许排放量要求</w:t>
            </w:r>
          </w:p>
        </w:tc>
        <w:tc>
          <w:tcPr>
            <w:tcW w:w="1003" w:type="dxa"/>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7</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到</w:t>
            </w:r>
            <w:r>
              <w:rPr>
                <w:rFonts w:ascii="仿宋_GB2312" w:hAnsi="仿宋_GB2312" w:cs="仿宋_GB2312"/>
                <w:color w:val="auto"/>
                <w:w w:val="100"/>
                <w:kern w:val="0"/>
                <w:sz w:val="30"/>
                <w:szCs w:val="30"/>
              </w:rPr>
              <w:t>2020</w:t>
            </w:r>
            <w:r>
              <w:rPr>
                <w:rFonts w:hint="eastAsia" w:ascii="仿宋_GB2312" w:hAnsi="仿宋_GB2312" w:cs="仿宋_GB2312"/>
                <w:color w:val="auto"/>
                <w:w w:val="100"/>
                <w:kern w:val="0"/>
                <w:sz w:val="30"/>
                <w:szCs w:val="30"/>
              </w:rPr>
              <w:t>年，赣州市全市化学需氧量、氨氮、二氧化硫、氮氧化物排放总量分别控制在</w:t>
            </w:r>
            <w:r>
              <w:rPr>
                <w:rFonts w:ascii="仿宋_GB2312" w:hAnsi="仿宋_GB2312" w:cs="仿宋_GB2312"/>
                <w:color w:val="auto"/>
                <w:w w:val="100"/>
                <w:kern w:val="0"/>
                <w:sz w:val="30"/>
                <w:szCs w:val="30"/>
              </w:rPr>
              <w:t xml:space="preserve">13.07 </w:t>
            </w:r>
            <w:r>
              <w:rPr>
                <w:rFonts w:hint="eastAsia" w:ascii="仿宋_GB2312" w:hAnsi="仿宋_GB2312" w:cs="仿宋_GB2312"/>
                <w:color w:val="auto"/>
                <w:w w:val="100"/>
                <w:kern w:val="0"/>
                <w:sz w:val="30"/>
                <w:szCs w:val="30"/>
              </w:rPr>
              <w:t>万吨、</w:t>
            </w:r>
            <w:r>
              <w:rPr>
                <w:rFonts w:ascii="仿宋_GB2312" w:hAnsi="仿宋_GB2312" w:cs="仿宋_GB2312"/>
                <w:color w:val="auto"/>
                <w:w w:val="100"/>
                <w:kern w:val="0"/>
                <w:sz w:val="30"/>
                <w:szCs w:val="30"/>
              </w:rPr>
              <w:t xml:space="preserve">1.79 </w:t>
            </w:r>
            <w:r>
              <w:rPr>
                <w:rFonts w:hint="eastAsia" w:ascii="仿宋_GB2312" w:hAnsi="仿宋_GB2312" w:cs="仿宋_GB2312"/>
                <w:color w:val="auto"/>
                <w:w w:val="100"/>
                <w:kern w:val="0"/>
                <w:sz w:val="30"/>
                <w:szCs w:val="30"/>
              </w:rPr>
              <w:t>万吨、</w:t>
            </w:r>
            <w:r>
              <w:rPr>
                <w:rFonts w:ascii="仿宋_GB2312" w:hAnsi="仿宋_GB2312" w:cs="仿宋_GB2312"/>
                <w:color w:val="auto"/>
                <w:w w:val="100"/>
                <w:kern w:val="0"/>
                <w:sz w:val="30"/>
                <w:szCs w:val="30"/>
              </w:rPr>
              <w:t xml:space="preserve">5.62 </w:t>
            </w:r>
            <w:r>
              <w:rPr>
                <w:rFonts w:hint="eastAsia" w:ascii="仿宋_GB2312" w:hAnsi="仿宋_GB2312" w:cs="仿宋_GB2312"/>
                <w:color w:val="auto"/>
                <w:w w:val="100"/>
                <w:kern w:val="0"/>
                <w:sz w:val="30"/>
                <w:szCs w:val="30"/>
              </w:rPr>
              <w:t>万吨、</w:t>
            </w:r>
            <w:r>
              <w:rPr>
                <w:rFonts w:ascii="仿宋_GB2312" w:hAnsi="仿宋_GB2312" w:cs="仿宋_GB2312"/>
                <w:color w:val="auto"/>
                <w:w w:val="100"/>
                <w:kern w:val="0"/>
                <w:sz w:val="30"/>
                <w:szCs w:val="30"/>
              </w:rPr>
              <w:t xml:space="preserve">3.86 </w:t>
            </w:r>
            <w:r>
              <w:rPr>
                <w:rFonts w:hint="eastAsia" w:ascii="仿宋_GB2312" w:hAnsi="仿宋_GB2312" w:cs="仿宋_GB2312"/>
                <w:color w:val="auto"/>
                <w:w w:val="100"/>
                <w:kern w:val="0"/>
                <w:sz w:val="30"/>
                <w:szCs w:val="30"/>
              </w:rPr>
              <w:t>万吨以内，比</w:t>
            </w:r>
            <w:r>
              <w:rPr>
                <w:rFonts w:ascii="仿宋_GB2312" w:hAnsi="仿宋_GB2312" w:cs="仿宋_GB2312"/>
                <w:color w:val="auto"/>
                <w:w w:val="100"/>
                <w:kern w:val="0"/>
                <w:sz w:val="30"/>
                <w:szCs w:val="30"/>
              </w:rPr>
              <w:t xml:space="preserve">2015 </w:t>
            </w:r>
            <w:r>
              <w:rPr>
                <w:rFonts w:hint="eastAsia" w:ascii="仿宋_GB2312" w:hAnsi="仿宋_GB2312" w:cs="仿宋_GB2312"/>
                <w:color w:val="auto"/>
                <w:w w:val="100"/>
                <w:kern w:val="0"/>
                <w:sz w:val="30"/>
                <w:szCs w:val="30"/>
              </w:rPr>
              <w:t>年分别下降</w:t>
            </w:r>
            <w:r>
              <w:rPr>
                <w:rFonts w:ascii="仿宋_GB2312" w:hAnsi="仿宋_GB2312" w:cs="仿宋_GB2312"/>
                <w:color w:val="auto"/>
                <w:w w:val="100"/>
                <w:kern w:val="0"/>
                <w:sz w:val="30"/>
                <w:szCs w:val="30"/>
              </w:rPr>
              <w:t>4.3%</w:t>
            </w:r>
            <w:r>
              <w:rPr>
                <w:rFonts w:hint="eastAsia" w:ascii="仿宋_GB2312" w:hAnsi="仿宋_GB2312" w:cs="仿宋_GB2312"/>
                <w:color w:val="auto"/>
                <w:w w:val="100"/>
                <w:kern w:val="0"/>
                <w:sz w:val="30"/>
                <w:szCs w:val="30"/>
              </w:rPr>
              <w:t>、</w:t>
            </w:r>
            <w:r>
              <w:rPr>
                <w:rFonts w:ascii="仿宋_GB2312" w:hAnsi="仿宋_GB2312" w:cs="仿宋_GB2312"/>
                <w:color w:val="auto"/>
                <w:w w:val="100"/>
                <w:kern w:val="0"/>
                <w:sz w:val="30"/>
                <w:szCs w:val="30"/>
              </w:rPr>
              <w:t>3.8%</w:t>
            </w:r>
            <w:r>
              <w:rPr>
                <w:rFonts w:hint="eastAsia" w:ascii="仿宋_GB2312" w:hAnsi="仿宋_GB2312" w:cs="仿宋_GB2312"/>
                <w:color w:val="auto"/>
                <w:w w:val="100"/>
                <w:kern w:val="0"/>
                <w:sz w:val="30"/>
                <w:szCs w:val="30"/>
              </w:rPr>
              <w:t>、</w:t>
            </w:r>
            <w:r>
              <w:rPr>
                <w:rFonts w:ascii="仿宋_GB2312" w:hAnsi="仿宋_GB2312" w:cs="仿宋_GB2312"/>
                <w:color w:val="auto"/>
                <w:w w:val="100"/>
                <w:kern w:val="0"/>
                <w:sz w:val="30"/>
                <w:szCs w:val="30"/>
              </w:rPr>
              <w:t>4.42%</w:t>
            </w:r>
            <w:r>
              <w:rPr>
                <w:rFonts w:hint="eastAsia" w:ascii="仿宋_GB2312" w:hAnsi="仿宋_GB2312" w:cs="仿宋_GB2312"/>
                <w:color w:val="auto"/>
                <w:w w:val="100"/>
                <w:kern w:val="0"/>
                <w:sz w:val="30"/>
                <w:szCs w:val="30"/>
              </w:rPr>
              <w:t>和</w:t>
            </w:r>
            <w:r>
              <w:rPr>
                <w:rFonts w:ascii="仿宋_GB2312" w:hAnsi="仿宋_GB2312" w:cs="仿宋_GB2312"/>
                <w:color w:val="auto"/>
                <w:w w:val="100"/>
                <w:kern w:val="0"/>
                <w:sz w:val="30"/>
                <w:szCs w:val="30"/>
              </w:rPr>
              <w:t>7.28%</w:t>
            </w:r>
            <w:r>
              <w:rPr>
                <w:rFonts w:hint="eastAsia" w:ascii="仿宋_GB2312" w:hAnsi="仿宋_GB2312" w:cs="仿宋_GB2312"/>
                <w:color w:val="auto"/>
                <w:w w:val="100"/>
                <w:kern w:val="0"/>
                <w:sz w:val="30"/>
                <w:szCs w:val="30"/>
              </w:rPr>
              <w:t>。“十四五”及以后执行省级下达的管控指标要求。</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现有源提标升级改造</w:t>
            </w:r>
          </w:p>
        </w:tc>
        <w:tc>
          <w:tcPr>
            <w:tcW w:w="1003"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8</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w:t>
            </w:r>
            <w:r>
              <w:rPr>
                <w:rFonts w:ascii="仿宋_GB2312" w:hAnsi="仿宋_GB2312" w:cs="仿宋_GB2312"/>
                <w:color w:val="auto"/>
                <w:w w:val="100"/>
                <w:kern w:val="0"/>
                <w:sz w:val="30"/>
                <w:szCs w:val="30"/>
              </w:rPr>
              <w:t xml:space="preserve">2020 </w:t>
            </w:r>
            <w:r>
              <w:rPr>
                <w:rFonts w:hint="eastAsia" w:ascii="仿宋_GB2312" w:hAnsi="仿宋_GB2312" w:cs="仿宋_GB2312"/>
                <w:color w:val="auto"/>
                <w:w w:val="100"/>
                <w:kern w:val="0"/>
                <w:sz w:val="30"/>
                <w:szCs w:val="30"/>
              </w:rPr>
              <w:t>年底前，完成中心城区城镇污水处理厂一级</w:t>
            </w:r>
            <w:r>
              <w:rPr>
                <w:rFonts w:ascii="仿宋_GB2312" w:hAnsi="仿宋_GB2312" w:cs="仿宋_GB2312"/>
                <w:color w:val="auto"/>
                <w:w w:val="100"/>
                <w:kern w:val="0"/>
                <w:sz w:val="30"/>
                <w:szCs w:val="30"/>
              </w:rPr>
              <w:t xml:space="preserve">A </w:t>
            </w:r>
            <w:r>
              <w:rPr>
                <w:rFonts w:hint="eastAsia" w:ascii="仿宋_GB2312" w:hAnsi="仿宋_GB2312" w:cs="仿宋_GB2312"/>
                <w:color w:val="auto"/>
                <w:w w:val="100"/>
                <w:kern w:val="0"/>
                <w:sz w:val="30"/>
                <w:szCs w:val="30"/>
              </w:rPr>
              <w:t>排放标准改造。</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、到</w:t>
            </w:r>
            <w:r>
              <w:rPr>
                <w:rFonts w:ascii="仿宋_GB2312" w:hAnsi="仿宋_GB2312" w:cs="仿宋_GB2312"/>
                <w:color w:val="auto"/>
                <w:w w:val="100"/>
                <w:kern w:val="0"/>
                <w:sz w:val="30"/>
                <w:szCs w:val="30"/>
              </w:rPr>
              <w:t>2020</w:t>
            </w:r>
            <w:r>
              <w:rPr>
                <w:rFonts w:hint="eastAsia" w:ascii="仿宋_GB2312" w:hAnsi="仿宋_GB2312" w:cs="仿宋_GB2312"/>
                <w:color w:val="auto"/>
                <w:w w:val="100"/>
                <w:kern w:val="0"/>
                <w:sz w:val="30"/>
                <w:szCs w:val="30"/>
              </w:rPr>
              <w:t>年，基本淘汰</w:t>
            </w:r>
            <w:r>
              <w:rPr>
                <w:rFonts w:ascii="仿宋_GB2312" w:hAnsi="仿宋_GB2312" w:cs="仿宋_GB2312"/>
                <w:color w:val="auto"/>
                <w:w w:val="100"/>
                <w:kern w:val="0"/>
                <w:sz w:val="30"/>
                <w:szCs w:val="30"/>
              </w:rPr>
              <w:t>10</w:t>
            </w:r>
            <w:r>
              <w:rPr>
                <w:rFonts w:hint="eastAsia" w:ascii="仿宋_GB2312" w:hAnsi="仿宋_GB2312" w:cs="仿宋_GB2312"/>
                <w:color w:val="auto"/>
                <w:w w:val="100"/>
                <w:kern w:val="0"/>
                <w:sz w:val="30"/>
                <w:szCs w:val="30"/>
              </w:rPr>
              <w:t>蒸吨</w:t>
            </w:r>
            <w:r>
              <w:rPr>
                <w:rFonts w:ascii="仿宋_GB2312" w:hAnsi="仿宋_GB2312" w:cs="仿宋_GB2312"/>
                <w:color w:val="auto"/>
                <w:w w:val="100"/>
                <w:kern w:val="0"/>
                <w:sz w:val="30"/>
                <w:szCs w:val="30"/>
              </w:rPr>
              <w:t>/</w:t>
            </w:r>
            <w:r>
              <w:rPr>
                <w:rFonts w:hint="eastAsia" w:ascii="仿宋_GB2312" w:hAnsi="仿宋_GB2312" w:cs="仿宋_GB2312"/>
                <w:color w:val="auto"/>
                <w:w w:val="100"/>
                <w:kern w:val="0"/>
                <w:sz w:val="30"/>
                <w:szCs w:val="30"/>
              </w:rPr>
              <w:t>小时及以下燃煤锅炉</w:t>
            </w:r>
            <w:r>
              <w:rPr>
                <w:rFonts w:ascii="仿宋_GB2312" w:hAnsi="仿宋_GB2312" w:cs="仿宋_GB2312"/>
                <w:color w:val="auto"/>
                <w:w w:val="100"/>
                <w:kern w:val="0"/>
                <w:sz w:val="30"/>
                <w:szCs w:val="30"/>
              </w:rPr>
              <w:t>(</w:t>
            </w:r>
            <w:r>
              <w:rPr>
                <w:rFonts w:hint="eastAsia" w:ascii="仿宋_GB2312" w:hAnsi="仿宋_GB2312" w:cs="仿宋_GB2312"/>
                <w:color w:val="auto"/>
                <w:w w:val="100"/>
                <w:kern w:val="0"/>
                <w:sz w:val="30"/>
                <w:szCs w:val="30"/>
              </w:rPr>
              <w:t>含茶炉大灶、经营性小煤炉</w:t>
            </w:r>
            <w:r>
              <w:rPr>
                <w:rFonts w:ascii="仿宋_GB2312" w:hAnsi="仿宋_GB2312" w:cs="仿宋_GB2312"/>
                <w:color w:val="auto"/>
                <w:w w:val="100"/>
                <w:kern w:val="0"/>
                <w:sz w:val="30"/>
                <w:szCs w:val="30"/>
              </w:rPr>
              <w:t>)</w:t>
            </w:r>
            <w:r>
              <w:rPr>
                <w:rFonts w:hint="eastAsia" w:ascii="仿宋_GB2312" w:hAnsi="仿宋_GB2312" w:cs="仿宋_GB2312"/>
                <w:color w:val="auto"/>
                <w:w w:val="100"/>
                <w:kern w:val="0"/>
                <w:sz w:val="30"/>
                <w:szCs w:val="30"/>
              </w:rPr>
              <w:t>，赣州市建成区</w:t>
            </w:r>
            <w:r>
              <w:rPr>
                <w:rFonts w:ascii="仿宋_GB2312" w:hAnsi="仿宋_GB2312" w:cs="仿宋_GB2312"/>
                <w:color w:val="auto"/>
                <w:w w:val="100"/>
                <w:kern w:val="0"/>
                <w:sz w:val="30"/>
                <w:szCs w:val="30"/>
              </w:rPr>
              <w:t>35</w:t>
            </w:r>
            <w:r>
              <w:rPr>
                <w:rFonts w:hint="eastAsia" w:ascii="仿宋_GB2312" w:hAnsi="仿宋_GB2312" w:cs="仿宋_GB2312"/>
                <w:color w:val="auto"/>
                <w:w w:val="100"/>
                <w:kern w:val="0"/>
                <w:sz w:val="30"/>
                <w:szCs w:val="30"/>
              </w:rPr>
              <w:t>蒸吨</w:t>
            </w:r>
            <w:r>
              <w:rPr>
                <w:rFonts w:ascii="仿宋_GB2312" w:hAnsi="仿宋_GB2312" w:cs="仿宋_GB2312"/>
                <w:color w:val="auto"/>
                <w:w w:val="100"/>
                <w:kern w:val="0"/>
                <w:sz w:val="30"/>
                <w:szCs w:val="30"/>
              </w:rPr>
              <w:t>/</w:t>
            </w:r>
            <w:r>
              <w:rPr>
                <w:rFonts w:hint="eastAsia" w:ascii="仿宋_GB2312" w:hAnsi="仿宋_GB2312" w:cs="仿宋_GB2312"/>
                <w:color w:val="auto"/>
                <w:w w:val="100"/>
                <w:kern w:val="0"/>
                <w:sz w:val="30"/>
                <w:szCs w:val="30"/>
              </w:rPr>
              <w:t>小时及以下燃煤锅炉基本完成清洁能源替代。依法严把准入关，县级及以上城市建成区不再审批</w:t>
            </w:r>
            <w:r>
              <w:rPr>
                <w:rFonts w:ascii="仿宋_GB2312" w:hAnsi="仿宋_GB2312" w:cs="仿宋_GB2312"/>
                <w:color w:val="auto"/>
                <w:w w:val="100"/>
                <w:kern w:val="0"/>
                <w:sz w:val="30"/>
                <w:szCs w:val="30"/>
              </w:rPr>
              <w:t>35</w:t>
            </w:r>
            <w:r>
              <w:rPr>
                <w:rFonts w:hint="eastAsia" w:ascii="仿宋_GB2312" w:hAnsi="仿宋_GB2312" w:cs="仿宋_GB2312"/>
                <w:color w:val="auto"/>
                <w:w w:val="100"/>
                <w:kern w:val="0"/>
                <w:sz w:val="30"/>
                <w:szCs w:val="30"/>
              </w:rPr>
              <w:t>蒸吨</w:t>
            </w:r>
            <w:r>
              <w:rPr>
                <w:rFonts w:ascii="仿宋_GB2312" w:hAnsi="仿宋_GB2312" w:cs="仿宋_GB2312"/>
                <w:color w:val="auto"/>
                <w:w w:val="100"/>
                <w:kern w:val="0"/>
                <w:sz w:val="30"/>
                <w:szCs w:val="30"/>
              </w:rPr>
              <w:t>/</w:t>
            </w:r>
            <w:r>
              <w:rPr>
                <w:rFonts w:hint="eastAsia" w:ascii="仿宋_GB2312" w:hAnsi="仿宋_GB2312" w:cs="仿宋_GB2312"/>
                <w:color w:val="auto"/>
                <w:w w:val="100"/>
                <w:kern w:val="0"/>
                <w:sz w:val="30"/>
                <w:szCs w:val="30"/>
              </w:rPr>
              <w:t>小时及以下燃煤锅炉。</w:t>
            </w:r>
            <w:r>
              <w:rPr>
                <w:rFonts w:ascii="仿宋_GB2312" w:hAnsi="仿宋_GB2312" w:cs="仿宋_GB2312"/>
                <w:color w:val="auto"/>
                <w:w w:val="100"/>
                <w:kern w:val="0"/>
                <w:sz w:val="30"/>
                <w:szCs w:val="30"/>
              </w:rPr>
              <w:t>2019</w:t>
            </w:r>
            <w:r>
              <w:rPr>
                <w:rFonts w:hint="eastAsia" w:ascii="仿宋_GB2312" w:hAnsi="仿宋_GB2312" w:cs="仿宋_GB2312"/>
                <w:color w:val="auto"/>
                <w:w w:val="100"/>
                <w:kern w:val="0"/>
                <w:sz w:val="30"/>
                <w:szCs w:val="30"/>
              </w:rPr>
              <w:t>年底国家级开发区基本实现集中供热，到</w:t>
            </w:r>
            <w:r>
              <w:rPr>
                <w:rFonts w:ascii="仿宋_GB2312" w:hAnsi="仿宋_GB2312" w:cs="仿宋_GB2312"/>
                <w:color w:val="auto"/>
                <w:w w:val="100"/>
                <w:kern w:val="0"/>
                <w:sz w:val="30"/>
                <w:szCs w:val="30"/>
              </w:rPr>
              <w:t>2020</w:t>
            </w:r>
            <w:r>
              <w:rPr>
                <w:rFonts w:hint="eastAsia" w:ascii="仿宋_GB2312" w:hAnsi="仿宋_GB2312" w:cs="仿宋_GB2312"/>
                <w:color w:val="auto"/>
                <w:w w:val="100"/>
                <w:kern w:val="0"/>
                <w:sz w:val="30"/>
                <w:szCs w:val="30"/>
              </w:rPr>
              <w:t>年底省级开发区基本实现集中供热。到</w:t>
            </w:r>
            <w:r>
              <w:rPr>
                <w:rFonts w:ascii="仿宋_GB2312" w:hAnsi="仿宋_GB2312" w:cs="仿宋_GB2312"/>
                <w:color w:val="auto"/>
                <w:w w:val="100"/>
                <w:kern w:val="0"/>
                <w:sz w:val="30"/>
                <w:szCs w:val="30"/>
              </w:rPr>
              <w:t>2020</w:t>
            </w:r>
            <w:r>
              <w:rPr>
                <w:rFonts w:hint="eastAsia" w:ascii="仿宋_GB2312" w:hAnsi="仿宋_GB2312" w:cs="仿宋_GB2312"/>
                <w:color w:val="auto"/>
                <w:w w:val="100"/>
                <w:kern w:val="0"/>
                <w:sz w:val="30"/>
                <w:szCs w:val="30"/>
              </w:rPr>
              <w:t>年底，基本实现集中供热范围内的分散供热锅炉全部淘汰，不再新建分散供热锅炉，确保实现“一区一热源”。</w:t>
            </w:r>
          </w:p>
        </w:tc>
      </w:tr>
      <w:tr>
        <w:tblPrEx>
          <w:tblLayout w:type="fixed"/>
          <w:tblCellMar>
            <w:top w:w="0" w:type="dxa"/>
            <w:left w:w="108" w:type="dxa"/>
            <w:bottom w:w="0" w:type="dxa"/>
            <w:right w:w="108" w:type="dxa"/>
          </w:tblCellMar>
        </w:tblPrEx>
        <w:trPr>
          <w:trHeight w:val="454" w:hRule="atLeast"/>
        </w:trPr>
        <w:tc>
          <w:tcPr>
            <w:tcW w:w="995" w:type="dxa"/>
            <w:vMerge w:val="restart"/>
            <w:tcBorders>
              <w:top w:val="nil"/>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环境风险防控</w:t>
            </w:r>
          </w:p>
        </w:tc>
        <w:tc>
          <w:tcPr>
            <w:tcW w:w="2051" w:type="dxa"/>
            <w:vMerge w:val="restart"/>
            <w:tcBorders>
              <w:top w:val="nil"/>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联防联控要求</w:t>
            </w:r>
          </w:p>
        </w:tc>
        <w:tc>
          <w:tcPr>
            <w:tcW w:w="1003" w:type="dxa"/>
            <w:vMerge w:val="restart"/>
            <w:tcBorders>
              <w:top w:val="nil"/>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9</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、积极参与和龙岩市区域大气污染防治联防联控合作及和广东省跨界河流水污染联防联控协作工作。</w:t>
            </w:r>
          </w:p>
        </w:tc>
      </w:tr>
      <w:tr>
        <w:tblPrEx>
          <w:tblLayout w:type="fixed"/>
          <w:tblCellMar>
            <w:top w:w="0" w:type="dxa"/>
            <w:left w:w="108" w:type="dxa"/>
            <w:bottom w:w="0" w:type="dxa"/>
            <w:right w:w="108" w:type="dxa"/>
          </w:tblCellMar>
        </w:tblPrEx>
        <w:trPr>
          <w:trHeight w:val="454" w:hRule="atLeast"/>
        </w:trPr>
        <w:tc>
          <w:tcPr>
            <w:tcW w:w="995"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、严格管控农用地，不得在污染地块种植水稻等特地农产品。</w:t>
            </w:r>
          </w:p>
        </w:tc>
      </w:tr>
      <w:tr>
        <w:tblPrEx>
          <w:tblLayout w:type="fixed"/>
          <w:tblCellMar>
            <w:top w:w="0" w:type="dxa"/>
            <w:left w:w="108" w:type="dxa"/>
            <w:bottom w:w="0" w:type="dxa"/>
            <w:right w:w="108" w:type="dxa"/>
          </w:tblCellMar>
        </w:tblPrEx>
        <w:trPr>
          <w:trHeight w:val="454" w:hRule="atLeast"/>
        </w:trPr>
        <w:tc>
          <w:tcPr>
            <w:tcW w:w="995"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3</w:t>
            </w:r>
            <w:r>
              <w:rPr>
                <w:rFonts w:hint="eastAsia" w:ascii="仿宋_GB2312" w:hAnsi="仿宋_GB2312" w:cs="仿宋_GB2312"/>
                <w:color w:val="auto"/>
                <w:w w:val="100"/>
                <w:kern w:val="0"/>
                <w:sz w:val="30"/>
                <w:szCs w:val="30"/>
              </w:rPr>
              <w:t>、已污染地块，应当依法开展土壤污染状况调查、治理与修复，符合相应用地土壤环境质量要求后，方可进入用地程序。</w:t>
            </w:r>
          </w:p>
        </w:tc>
      </w:tr>
      <w:tr>
        <w:tblPrEx>
          <w:tblLayout w:type="fixed"/>
          <w:tblCellMar>
            <w:top w:w="0" w:type="dxa"/>
            <w:left w:w="108" w:type="dxa"/>
            <w:bottom w:w="0" w:type="dxa"/>
            <w:right w:w="108" w:type="dxa"/>
          </w:tblCellMar>
        </w:tblPrEx>
        <w:trPr>
          <w:trHeight w:val="454" w:hRule="atLeast"/>
        </w:trPr>
        <w:tc>
          <w:tcPr>
            <w:tcW w:w="995"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4</w:t>
            </w:r>
            <w:r>
              <w:rPr>
                <w:rFonts w:hint="eastAsia" w:ascii="仿宋_GB2312" w:hAnsi="仿宋_GB2312" w:cs="仿宋_GB2312"/>
                <w:color w:val="auto"/>
                <w:w w:val="100"/>
                <w:kern w:val="0"/>
                <w:sz w:val="30"/>
                <w:szCs w:val="30"/>
              </w:rPr>
              <w:t>、工业园区应建立三级环境风险防控体系。</w:t>
            </w:r>
          </w:p>
        </w:tc>
      </w:tr>
      <w:tr>
        <w:tblPrEx>
          <w:tblLayout w:type="fixed"/>
          <w:tblCellMar>
            <w:top w:w="0" w:type="dxa"/>
            <w:left w:w="108" w:type="dxa"/>
            <w:bottom w:w="0" w:type="dxa"/>
            <w:right w:w="108" w:type="dxa"/>
          </w:tblCellMar>
        </w:tblPrEx>
        <w:trPr>
          <w:trHeight w:val="454" w:hRule="atLeast"/>
        </w:trPr>
        <w:tc>
          <w:tcPr>
            <w:tcW w:w="995" w:type="dxa"/>
            <w:vMerge w:val="continue"/>
            <w:tcBorders>
              <w:left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5</w:t>
            </w:r>
            <w:r>
              <w:rPr>
                <w:rFonts w:hint="eastAsia" w:ascii="仿宋_GB2312" w:hAnsi="仿宋_GB2312" w:cs="仿宋_GB2312"/>
                <w:color w:val="auto"/>
                <w:w w:val="100"/>
                <w:kern w:val="0"/>
                <w:sz w:val="30"/>
                <w:szCs w:val="30"/>
              </w:rPr>
              <w:t>、紧邻居住、科教、医院等环境敏感点的工业用地，禁止新建环境风险等级高的建设项目。</w:t>
            </w:r>
          </w:p>
        </w:tc>
      </w:tr>
      <w:tr>
        <w:tblPrEx>
          <w:tblLayout w:type="fixed"/>
          <w:tblCellMar>
            <w:top w:w="0" w:type="dxa"/>
            <w:left w:w="108" w:type="dxa"/>
            <w:bottom w:w="0" w:type="dxa"/>
            <w:right w:w="108" w:type="dxa"/>
          </w:tblCellMar>
        </w:tblPrEx>
        <w:trPr>
          <w:trHeight w:val="454" w:hRule="atLeast"/>
        </w:trPr>
        <w:tc>
          <w:tcPr>
            <w:tcW w:w="995" w:type="dxa"/>
            <w:vMerge w:val="continue"/>
            <w:tcBorders>
              <w:left w:val="single" w:color="auto" w:sz="4" w:space="0"/>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6</w:t>
            </w:r>
            <w:r>
              <w:rPr>
                <w:rFonts w:hint="eastAsia" w:ascii="仿宋_GB2312" w:hAnsi="仿宋_GB2312" w:cs="仿宋_GB2312"/>
                <w:color w:val="auto"/>
                <w:w w:val="100"/>
                <w:kern w:val="0"/>
                <w:sz w:val="30"/>
                <w:szCs w:val="30"/>
              </w:rPr>
              <w:t>、生产、存储危险化学品及产生大量废水的企业，应配套有效措施，防止因渗漏污染地下水、土壤，以及因事故废水直排污染地表水体。产生、利用或处置固体废物（含危险废物）的企业，在贮存、转移、利用、处置固体废物（含危险废物）过程中，应配套防扬散、防流失、防渗漏及其他防止污染环境的措施。</w:t>
            </w:r>
          </w:p>
        </w:tc>
      </w:tr>
      <w:tr>
        <w:tblPrEx>
          <w:tblLayout w:type="fixed"/>
          <w:tblCellMar>
            <w:top w:w="0" w:type="dxa"/>
            <w:left w:w="108" w:type="dxa"/>
            <w:bottom w:w="0" w:type="dxa"/>
            <w:right w:w="108" w:type="dxa"/>
          </w:tblCellMar>
        </w:tblPrEx>
        <w:trPr>
          <w:trHeight w:val="454" w:hRule="atLeast"/>
        </w:trPr>
        <w:tc>
          <w:tcPr>
            <w:tcW w:w="995" w:type="dxa"/>
            <w:vMerge w:val="restart"/>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资源利用效率要求</w:t>
            </w:r>
          </w:p>
        </w:tc>
        <w:tc>
          <w:tcPr>
            <w:tcW w:w="2051" w:type="dxa"/>
            <w:vMerge w:val="restart"/>
            <w:tcBorders>
              <w:top w:val="nil"/>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水资源利用总量要求</w:t>
            </w:r>
          </w:p>
        </w:tc>
        <w:tc>
          <w:tcPr>
            <w:tcW w:w="1003" w:type="dxa"/>
            <w:vMerge w:val="restart"/>
            <w:tcBorders>
              <w:top w:val="nil"/>
              <w:left w:val="nil"/>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10</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、到</w:t>
            </w:r>
            <w:r>
              <w:rPr>
                <w:rFonts w:ascii="仿宋_GB2312" w:hAnsi="仿宋_GB2312" w:cs="仿宋_GB2312"/>
                <w:color w:val="auto"/>
                <w:w w:val="100"/>
                <w:kern w:val="0"/>
                <w:sz w:val="30"/>
                <w:szCs w:val="30"/>
              </w:rPr>
              <w:t>2020</w:t>
            </w:r>
            <w:r>
              <w:rPr>
                <w:rFonts w:hint="eastAsia" w:ascii="仿宋_GB2312" w:hAnsi="仿宋_GB2312" w:cs="仿宋_GB2312"/>
                <w:color w:val="auto"/>
                <w:w w:val="100"/>
                <w:kern w:val="0"/>
                <w:sz w:val="30"/>
                <w:szCs w:val="30"/>
              </w:rPr>
              <w:t>年赣州市区域用水总量不得超过</w:t>
            </w:r>
            <w:r>
              <w:rPr>
                <w:rFonts w:ascii="仿宋_GB2312" w:hAnsi="仿宋_GB2312" w:cs="仿宋_GB2312"/>
                <w:color w:val="auto"/>
                <w:w w:val="100"/>
                <w:kern w:val="0"/>
                <w:sz w:val="30"/>
                <w:szCs w:val="30"/>
              </w:rPr>
              <w:t>35.83</w:t>
            </w:r>
            <w:r>
              <w:rPr>
                <w:rFonts w:hint="eastAsia" w:ascii="仿宋_GB2312" w:hAnsi="仿宋_GB2312" w:cs="仿宋_GB2312"/>
                <w:color w:val="auto"/>
                <w:w w:val="100"/>
                <w:kern w:val="0"/>
                <w:sz w:val="30"/>
                <w:szCs w:val="30"/>
              </w:rPr>
              <w:t>亿</w:t>
            </w:r>
            <w:r>
              <w:rPr>
                <w:rFonts w:ascii="仿宋_GB2312" w:hAnsi="仿宋_GB2312" w:cs="仿宋_GB2312"/>
                <w:color w:val="auto"/>
                <w:w w:val="100"/>
                <w:kern w:val="0"/>
                <w:sz w:val="30"/>
                <w:szCs w:val="30"/>
              </w:rPr>
              <w:t>m3</w:t>
            </w:r>
            <w:r>
              <w:rPr>
                <w:rFonts w:hint="eastAsia" w:ascii="仿宋_GB2312" w:hAnsi="仿宋_GB2312" w:cs="仿宋_GB2312"/>
                <w:color w:val="auto"/>
                <w:w w:val="100"/>
                <w:kern w:val="0"/>
                <w:sz w:val="30"/>
                <w:szCs w:val="30"/>
              </w:rPr>
              <w:t>，</w:t>
            </w:r>
            <w:r>
              <w:rPr>
                <w:rFonts w:ascii="仿宋_GB2312" w:hAnsi="仿宋_GB2312" w:cs="仿宋_GB2312"/>
                <w:color w:val="auto"/>
                <w:w w:val="100"/>
                <w:kern w:val="0"/>
                <w:sz w:val="30"/>
                <w:szCs w:val="30"/>
              </w:rPr>
              <w:t>2030</w:t>
            </w:r>
            <w:r>
              <w:rPr>
                <w:rFonts w:hint="eastAsia" w:ascii="仿宋_GB2312" w:hAnsi="仿宋_GB2312" w:cs="仿宋_GB2312"/>
                <w:color w:val="auto"/>
                <w:w w:val="100"/>
                <w:kern w:val="0"/>
                <w:sz w:val="30"/>
                <w:szCs w:val="30"/>
              </w:rPr>
              <w:t>年不得超过</w:t>
            </w:r>
            <w:r>
              <w:rPr>
                <w:rFonts w:ascii="仿宋_GB2312" w:hAnsi="仿宋_GB2312" w:cs="仿宋_GB2312"/>
                <w:color w:val="auto"/>
                <w:w w:val="100"/>
                <w:kern w:val="0"/>
                <w:sz w:val="30"/>
                <w:szCs w:val="30"/>
              </w:rPr>
              <w:t>36.10</w:t>
            </w:r>
            <w:r>
              <w:rPr>
                <w:rFonts w:hint="eastAsia" w:ascii="仿宋_GB2312" w:hAnsi="仿宋_GB2312" w:cs="仿宋_GB2312"/>
                <w:color w:val="auto"/>
                <w:w w:val="100"/>
                <w:kern w:val="0"/>
                <w:sz w:val="30"/>
                <w:szCs w:val="30"/>
              </w:rPr>
              <w:t>亿</w:t>
            </w:r>
            <w:r>
              <w:rPr>
                <w:rFonts w:ascii="仿宋_GB2312" w:hAnsi="仿宋_GB2312" w:cs="仿宋_GB2312"/>
                <w:color w:val="auto"/>
                <w:w w:val="100"/>
                <w:kern w:val="0"/>
                <w:sz w:val="30"/>
                <w:szCs w:val="30"/>
              </w:rPr>
              <w:t>m3</w:t>
            </w:r>
            <w:r>
              <w:rPr>
                <w:rFonts w:hint="eastAsia" w:ascii="仿宋_GB2312" w:hAnsi="仿宋_GB2312" w:cs="仿宋_GB2312"/>
                <w:color w:val="auto"/>
                <w:w w:val="100"/>
                <w:kern w:val="0"/>
                <w:sz w:val="30"/>
                <w:szCs w:val="30"/>
              </w:rPr>
              <w:t>。</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vMerge w:val="continue"/>
            <w:tcBorders>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1003" w:type="dxa"/>
            <w:vMerge w:val="continue"/>
            <w:tcBorders>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、农业灌溉水有效利用效率不低于</w:t>
            </w:r>
            <w:r>
              <w:rPr>
                <w:rFonts w:ascii="仿宋_GB2312" w:hAnsi="仿宋_GB2312" w:cs="仿宋_GB2312"/>
                <w:color w:val="auto"/>
                <w:w w:val="100"/>
                <w:kern w:val="0"/>
                <w:sz w:val="30"/>
                <w:szCs w:val="30"/>
              </w:rPr>
              <w:t>0.509</w:t>
            </w:r>
            <w:r>
              <w:rPr>
                <w:rFonts w:hint="eastAsia" w:ascii="仿宋_GB2312" w:hAnsi="仿宋_GB2312" w:cs="仿宋_GB2312"/>
                <w:color w:val="auto"/>
                <w:w w:val="100"/>
                <w:kern w:val="0"/>
                <w:sz w:val="30"/>
                <w:szCs w:val="30"/>
              </w:rPr>
              <w:t>。</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地下水开采要求</w:t>
            </w:r>
          </w:p>
        </w:tc>
        <w:tc>
          <w:tcPr>
            <w:tcW w:w="100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11</w:t>
            </w:r>
          </w:p>
        </w:tc>
        <w:tc>
          <w:tcPr>
            <w:tcW w:w="9254" w:type="dxa"/>
            <w:tcBorders>
              <w:top w:val="single" w:color="auto" w:sz="4" w:space="0"/>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禁止在赣州市中心城区新增取用地下水。</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tcBorders>
              <w:top w:val="single" w:color="auto" w:sz="4" w:space="0"/>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能源利用总量及效率要求</w:t>
            </w:r>
          </w:p>
        </w:tc>
        <w:tc>
          <w:tcPr>
            <w:tcW w:w="1003" w:type="dxa"/>
            <w:tcBorders>
              <w:top w:val="single" w:color="auto" w:sz="4" w:space="0"/>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12</w:t>
            </w:r>
          </w:p>
        </w:tc>
        <w:tc>
          <w:tcPr>
            <w:tcW w:w="9254" w:type="dxa"/>
            <w:tcBorders>
              <w:top w:val="single" w:color="auto" w:sz="4" w:space="0"/>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到</w:t>
            </w:r>
            <w:r>
              <w:rPr>
                <w:rFonts w:ascii="仿宋_GB2312" w:hAnsi="仿宋_GB2312" w:cs="仿宋_GB2312"/>
                <w:color w:val="auto"/>
                <w:w w:val="100"/>
                <w:kern w:val="0"/>
                <w:sz w:val="30"/>
                <w:szCs w:val="30"/>
              </w:rPr>
              <w:t xml:space="preserve">2020 </w:t>
            </w:r>
            <w:r>
              <w:rPr>
                <w:rFonts w:hint="eastAsia" w:ascii="仿宋_GB2312" w:hAnsi="仿宋_GB2312" w:cs="仿宋_GB2312"/>
                <w:color w:val="auto"/>
                <w:w w:val="100"/>
                <w:kern w:val="0"/>
                <w:sz w:val="30"/>
                <w:szCs w:val="30"/>
              </w:rPr>
              <w:t>年，全市万元地区生产总值能耗比</w:t>
            </w:r>
            <w:r>
              <w:rPr>
                <w:rFonts w:ascii="仿宋_GB2312" w:hAnsi="仿宋_GB2312" w:cs="仿宋_GB2312"/>
                <w:color w:val="auto"/>
                <w:w w:val="100"/>
                <w:kern w:val="0"/>
                <w:sz w:val="30"/>
                <w:szCs w:val="30"/>
              </w:rPr>
              <w:t xml:space="preserve">2015 </w:t>
            </w:r>
            <w:r>
              <w:rPr>
                <w:rFonts w:hint="eastAsia" w:ascii="仿宋_GB2312" w:hAnsi="仿宋_GB2312" w:cs="仿宋_GB2312"/>
                <w:color w:val="auto"/>
                <w:w w:val="100"/>
                <w:kern w:val="0"/>
                <w:sz w:val="30"/>
                <w:szCs w:val="30"/>
              </w:rPr>
              <w:t>年下降</w:t>
            </w:r>
            <w:r>
              <w:rPr>
                <w:rFonts w:ascii="仿宋_GB2312" w:hAnsi="仿宋_GB2312" w:cs="仿宋_GB2312"/>
                <w:color w:val="auto"/>
                <w:w w:val="100"/>
                <w:kern w:val="0"/>
                <w:sz w:val="30"/>
                <w:szCs w:val="30"/>
              </w:rPr>
              <w:t>15%</w:t>
            </w:r>
            <w:r>
              <w:rPr>
                <w:rFonts w:hint="eastAsia" w:ascii="仿宋_GB2312" w:hAnsi="仿宋_GB2312" w:cs="仿宋_GB2312"/>
                <w:color w:val="auto"/>
                <w:w w:val="100"/>
                <w:kern w:val="0"/>
                <w:sz w:val="30"/>
                <w:szCs w:val="30"/>
              </w:rPr>
              <w:t>，能源消费总量控制在</w:t>
            </w:r>
            <w:r>
              <w:rPr>
                <w:rFonts w:ascii="仿宋_GB2312" w:hAnsi="仿宋_GB2312" w:cs="仿宋_GB2312"/>
                <w:color w:val="auto"/>
                <w:w w:val="100"/>
                <w:kern w:val="0"/>
                <w:sz w:val="30"/>
                <w:szCs w:val="30"/>
              </w:rPr>
              <w:t xml:space="preserve">1019 </w:t>
            </w:r>
            <w:r>
              <w:rPr>
                <w:rFonts w:hint="eastAsia" w:ascii="仿宋_GB2312" w:hAnsi="仿宋_GB2312" w:cs="仿宋_GB2312"/>
                <w:color w:val="auto"/>
                <w:w w:val="100"/>
                <w:kern w:val="0"/>
                <w:sz w:val="30"/>
                <w:szCs w:val="30"/>
              </w:rPr>
              <w:t>万吨标准煤以内。</w:t>
            </w:r>
          </w:p>
        </w:tc>
      </w:tr>
      <w:tr>
        <w:tblPrEx>
          <w:tblLayout w:type="fixed"/>
          <w:tblCellMar>
            <w:top w:w="0" w:type="dxa"/>
            <w:left w:w="108" w:type="dxa"/>
            <w:bottom w:w="0" w:type="dxa"/>
            <w:right w:w="108" w:type="dxa"/>
          </w:tblCellMar>
        </w:tblPrEx>
        <w:trPr>
          <w:trHeight w:val="454" w:hRule="atLeast"/>
        </w:trPr>
        <w:tc>
          <w:tcPr>
            <w:tcW w:w="995" w:type="dxa"/>
            <w:vMerge w:val="continue"/>
            <w:tcBorders>
              <w:top w:val="nil"/>
              <w:left w:val="single" w:color="auto" w:sz="4" w:space="0"/>
              <w:bottom w:val="single" w:color="000000"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p>
        </w:tc>
        <w:tc>
          <w:tcPr>
            <w:tcW w:w="2051" w:type="dxa"/>
            <w:tcBorders>
              <w:top w:val="nil"/>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禁燃区要求</w:t>
            </w:r>
          </w:p>
        </w:tc>
        <w:tc>
          <w:tcPr>
            <w:tcW w:w="1003" w:type="dxa"/>
            <w:tcBorders>
              <w:top w:val="nil"/>
              <w:left w:val="nil"/>
              <w:bottom w:val="single" w:color="auto" w:sz="4" w:space="0"/>
              <w:right w:val="single" w:color="auto" w:sz="4" w:space="0"/>
            </w:tcBorders>
            <w:vAlign w:val="center"/>
          </w:tcPr>
          <w:p>
            <w:pPr>
              <w:snapToGrid w:val="0"/>
              <w:spacing w:line="360" w:lineRule="exact"/>
              <w:jc w:val="center"/>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13</w:t>
            </w:r>
          </w:p>
        </w:tc>
        <w:tc>
          <w:tcPr>
            <w:tcW w:w="9254" w:type="dxa"/>
            <w:tcBorders>
              <w:top w:val="nil"/>
              <w:left w:val="nil"/>
              <w:bottom w:val="single" w:color="auto" w:sz="4" w:space="0"/>
              <w:right w:val="single" w:color="auto" w:sz="4" w:space="0"/>
            </w:tcBorders>
            <w:vAlign w:val="center"/>
          </w:tcPr>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1</w:t>
            </w:r>
            <w:r>
              <w:rPr>
                <w:rFonts w:hint="eastAsia" w:ascii="仿宋_GB2312" w:hAnsi="仿宋_GB2312" w:cs="仿宋_GB2312"/>
                <w:color w:val="auto"/>
                <w:w w:val="100"/>
                <w:kern w:val="0"/>
                <w:sz w:val="30"/>
                <w:szCs w:val="30"/>
              </w:rPr>
              <w:t>、禁止在赣州市划定的高污染燃料禁燃区燃用高污染燃料，新建、扩建燃用高污染燃料的项目和设施。</w:t>
            </w:r>
          </w:p>
          <w:p>
            <w:pPr>
              <w:snapToGrid w:val="0"/>
              <w:spacing w:line="360" w:lineRule="exact"/>
              <w:rPr>
                <w:rFonts w:ascii="仿宋_GB2312" w:hAnsi="仿宋_GB2312" w:cs="仿宋_GB2312"/>
                <w:color w:val="auto"/>
                <w:w w:val="100"/>
                <w:kern w:val="0"/>
                <w:sz w:val="30"/>
                <w:szCs w:val="30"/>
              </w:rPr>
            </w:pPr>
            <w:r>
              <w:rPr>
                <w:rFonts w:ascii="仿宋_GB2312" w:hAnsi="仿宋_GB2312" w:cs="仿宋_GB2312"/>
                <w:color w:val="auto"/>
                <w:w w:val="100"/>
                <w:kern w:val="0"/>
                <w:sz w:val="30"/>
                <w:szCs w:val="30"/>
              </w:rPr>
              <w:t>2</w:t>
            </w:r>
            <w:r>
              <w:rPr>
                <w:rFonts w:hint="eastAsia" w:ascii="仿宋_GB2312" w:hAnsi="仿宋_GB2312" w:cs="仿宋_GB2312"/>
                <w:color w:val="auto"/>
                <w:w w:val="100"/>
                <w:kern w:val="0"/>
                <w:sz w:val="30"/>
                <w:szCs w:val="30"/>
              </w:rPr>
              <w:t>、禁燃区内现有使用高污染燃料的区域应分期分批次淘汰或实施清洁能源改造。</w:t>
            </w:r>
          </w:p>
        </w:tc>
      </w:tr>
      <w:bookmarkEnd w:id="0"/>
    </w:tbl>
    <w:p>
      <w:pPr>
        <w:widowControl/>
        <w:spacing w:line="560" w:lineRule="exact"/>
        <w:rPr>
          <w:rFonts w:ascii="仿宋_GB2312" w:hAnsi="仿宋_GB2312" w:cs="仿宋_GB2312"/>
          <w:color w:val="000000"/>
          <w:w w:val="100"/>
          <w:sz w:val="30"/>
          <w:szCs w:val="30"/>
        </w:rPr>
        <w:sectPr>
          <w:pgSz w:w="16838" w:h="11906" w:orient="landscape"/>
          <w:pgMar w:top="1531" w:right="2098" w:bottom="1531" w:left="1985" w:header="0" w:footer="1701" w:gutter="0"/>
          <w:cols w:space="720" w:num="1"/>
          <w:docGrid w:type="linesAndChars" w:linePitch="435" w:charSpace="0"/>
        </w:sectPr>
      </w:pPr>
    </w:p>
    <w:p>
      <w:pPr>
        <w:outlineLvl w:val="0"/>
        <w:rPr>
          <w:rFonts w:hint="eastAsia" w:ascii="黑体" w:hAnsi="黑体" w:eastAsia="黑体"/>
          <w:w w:val="100"/>
          <w:szCs w:val="32"/>
        </w:rPr>
      </w:pPr>
      <w:r>
        <w:rPr>
          <w:rFonts w:hint="eastAsia" w:ascii="黑体" w:hAnsi="黑体" w:eastAsia="黑体"/>
          <w:w w:val="100"/>
          <w:szCs w:val="32"/>
        </w:rPr>
        <w:t>附件2</w:t>
      </w:r>
    </w:p>
    <w:p>
      <w:pPr>
        <w:spacing w:after="217" w:afterLines="50" w:line="600" w:lineRule="exact"/>
        <w:jc w:val="center"/>
        <w:outlineLvl w:val="0"/>
        <w:rPr>
          <w:rFonts w:hint="eastAsia" w:ascii="方正小标宋简体" w:eastAsia="方正小标宋简体"/>
          <w:color w:val="auto"/>
          <w:w w:val="100"/>
          <w:sz w:val="44"/>
          <w:szCs w:val="44"/>
        </w:rPr>
      </w:pPr>
      <w:r>
        <w:rPr>
          <w:rFonts w:hint="eastAsia" w:ascii="方正小标宋简体" w:eastAsia="方正小标宋简体"/>
          <w:color w:val="auto"/>
          <w:w w:val="100"/>
          <w:sz w:val="44"/>
          <w:szCs w:val="44"/>
        </w:rPr>
        <w:t>赣州市环境综合管控单元分布图</w:t>
      </w:r>
    </w:p>
    <w:p>
      <w:pPr>
        <w:jc w:val="center"/>
        <w:rPr>
          <w:rFonts w:hint="eastAsia" w:ascii="方正小标宋简体" w:eastAsia="方正小标宋简体"/>
          <w:w w:val="100"/>
          <w:sz w:val="36"/>
          <w:szCs w:val="36"/>
          <w:lang w:eastAsia="zh-CN"/>
        </w:rPr>
      </w:pPr>
      <w:r>
        <w:rPr>
          <w:rFonts w:hint="eastAsia" w:ascii="方正小标宋简体" w:eastAsia="方正小标宋简体"/>
          <w:w w:val="100"/>
          <w:sz w:val="36"/>
          <w:szCs w:val="36"/>
          <w:lang w:eastAsia="zh-CN"/>
        </w:rPr>
        <w:drawing>
          <wp:inline distT="0" distB="0" distL="114300" distR="114300">
            <wp:extent cx="5610225" cy="7028815"/>
            <wp:effectExtent l="0" t="0" r="3175" b="6985"/>
            <wp:docPr id="1" name="图片 1" descr="12ec4855bf9de91f9b889c46ef846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ec4855bf9de91f9b889c46ef8464c"/>
                    <pic:cNvPicPr>
                      <a:picLocks noChangeAspect="1"/>
                    </pic:cNvPicPr>
                  </pic:nvPicPr>
                  <pic:blipFill>
                    <a:blip r:embed="rId4"/>
                    <a:stretch>
                      <a:fillRect/>
                    </a:stretch>
                  </pic:blipFill>
                  <pic:spPr>
                    <a:xfrm>
                      <a:off x="0" y="0"/>
                      <a:ext cx="5610225" cy="7028815"/>
                    </a:xfrm>
                    <a:prstGeom prst="rect">
                      <a:avLst/>
                    </a:prstGeom>
                    <a:noFill/>
                    <a:ln w="9525">
                      <a:noFill/>
                    </a:ln>
                  </pic:spPr>
                </pic:pic>
              </a:graphicData>
            </a:graphic>
          </wp:inline>
        </w:drawing>
      </w:r>
    </w:p>
    <w:p>
      <w:pPr>
        <w:outlineLvl w:val="0"/>
        <w:rPr>
          <w:rFonts w:ascii="黑体" w:hAnsi="黑体" w:eastAsia="黑体"/>
          <w:w w:val="100"/>
          <w:szCs w:val="32"/>
        </w:rPr>
        <w:sectPr>
          <w:pgSz w:w="11906" w:h="16838"/>
          <w:pgMar w:top="2098" w:right="1531" w:bottom="1985" w:left="1531" w:header="0" w:footer="1701" w:gutter="0"/>
          <w:cols w:space="720" w:num="1"/>
          <w:docGrid w:type="lines" w:linePitch="435" w:charSpace="0"/>
        </w:sectPr>
      </w:pPr>
    </w:p>
    <w:p>
      <w:pPr>
        <w:outlineLvl w:val="0"/>
        <w:rPr>
          <w:rFonts w:hint="eastAsia" w:ascii="黑体" w:hAnsi="黑体" w:eastAsia="黑体"/>
          <w:w w:val="100"/>
          <w:szCs w:val="32"/>
        </w:rPr>
      </w:pPr>
      <w:r>
        <w:rPr>
          <w:rFonts w:hint="eastAsia" w:ascii="黑体" w:hAnsi="黑体" w:eastAsia="黑体"/>
          <w:w w:val="100"/>
          <w:szCs w:val="32"/>
        </w:rPr>
        <w:t>附件3</w:t>
      </w:r>
    </w:p>
    <w:p>
      <w:pPr>
        <w:spacing w:after="217" w:afterLines="50" w:line="600" w:lineRule="exact"/>
        <w:jc w:val="center"/>
        <w:outlineLvl w:val="0"/>
        <w:rPr>
          <w:rFonts w:ascii="方正小标宋简体" w:eastAsia="方正小标宋简体"/>
          <w:w w:val="100"/>
          <w:sz w:val="44"/>
          <w:szCs w:val="44"/>
        </w:rPr>
      </w:pPr>
      <w:r>
        <w:rPr>
          <w:rFonts w:hint="eastAsia" w:ascii="方正小标宋简体" w:eastAsia="方正小标宋简体"/>
          <w:w w:val="100"/>
          <w:sz w:val="44"/>
          <w:szCs w:val="44"/>
        </w:rPr>
        <w:t>赣州市环境管控单元划定表</w:t>
      </w:r>
    </w:p>
    <w:tbl>
      <w:tblPr>
        <w:tblStyle w:val="3"/>
        <w:tblW w:w="12765" w:type="dxa"/>
        <w:jc w:val="center"/>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1611"/>
        <w:gridCol w:w="3260"/>
        <w:gridCol w:w="2244"/>
        <w:gridCol w:w="2859"/>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804" w:type="dxa"/>
            <w:vAlign w:val="center"/>
          </w:tcPr>
          <w:p>
            <w:pPr>
              <w:wordWrap w:val="0"/>
              <w:snapToGrid w:val="0"/>
              <w:spacing w:line="360" w:lineRule="exact"/>
              <w:jc w:val="center"/>
              <w:rPr>
                <w:rFonts w:ascii="仿宋_GB2312" w:hAnsi="仿宋_GB2312" w:cs="仿宋_GB2312"/>
                <w:b/>
                <w:bCs/>
                <w:color w:val="auto"/>
                <w:w w:val="100"/>
                <w:kern w:val="0"/>
                <w:sz w:val="30"/>
                <w:szCs w:val="30"/>
              </w:rPr>
            </w:pPr>
            <w:bookmarkStart w:id="1" w:name="_Hlk58356004"/>
            <w:r>
              <w:rPr>
                <w:rFonts w:hint="eastAsia" w:ascii="仿宋_GB2312" w:hAnsi="仿宋_GB2312" w:cs="仿宋_GB2312"/>
                <w:b/>
                <w:bCs/>
                <w:color w:val="auto"/>
                <w:w w:val="100"/>
                <w:kern w:val="0"/>
                <w:sz w:val="30"/>
                <w:szCs w:val="30"/>
              </w:rPr>
              <w:t>序号</w:t>
            </w:r>
          </w:p>
        </w:tc>
        <w:tc>
          <w:tcPr>
            <w:tcW w:w="1611" w:type="dxa"/>
            <w:vAlign w:val="center"/>
          </w:tcPr>
          <w:p>
            <w:pPr>
              <w:wordWrap w:val="0"/>
              <w:snapToGrid w:val="0"/>
              <w:spacing w:line="360" w:lineRule="exact"/>
              <w:jc w:val="center"/>
              <w:rPr>
                <w:rFonts w:hint="eastAsia" w:ascii="仿宋_GB2312" w:hAnsi="仿宋_GB2312" w:cs="仿宋_GB2312"/>
                <w:b/>
                <w:bCs/>
                <w:color w:val="auto"/>
                <w:w w:val="100"/>
                <w:kern w:val="0"/>
                <w:sz w:val="30"/>
                <w:szCs w:val="30"/>
              </w:rPr>
            </w:pPr>
            <w:r>
              <w:rPr>
                <w:rFonts w:hint="eastAsia" w:ascii="仿宋_GB2312" w:hAnsi="仿宋_GB2312" w:cs="仿宋_GB2312"/>
                <w:b/>
                <w:bCs/>
                <w:color w:val="auto"/>
                <w:w w:val="100"/>
                <w:kern w:val="0"/>
                <w:sz w:val="30"/>
                <w:szCs w:val="30"/>
              </w:rPr>
              <w:t>县（市、区）</w:t>
            </w:r>
          </w:p>
        </w:tc>
        <w:tc>
          <w:tcPr>
            <w:tcW w:w="3260" w:type="dxa"/>
            <w:vAlign w:val="center"/>
          </w:tcPr>
          <w:p>
            <w:pPr>
              <w:wordWrap w:val="0"/>
              <w:snapToGrid w:val="0"/>
              <w:spacing w:line="360" w:lineRule="exact"/>
              <w:jc w:val="center"/>
              <w:rPr>
                <w:rFonts w:hint="eastAsia" w:ascii="仿宋_GB2312" w:hAnsi="仿宋_GB2312" w:cs="仿宋_GB2312"/>
                <w:b/>
                <w:bCs/>
                <w:color w:val="auto"/>
                <w:w w:val="100"/>
                <w:kern w:val="0"/>
                <w:sz w:val="30"/>
                <w:szCs w:val="30"/>
              </w:rPr>
            </w:pPr>
            <w:r>
              <w:rPr>
                <w:rFonts w:hint="eastAsia" w:ascii="仿宋_GB2312" w:hAnsi="仿宋_GB2312" w:cs="仿宋_GB2312"/>
                <w:b/>
                <w:bCs/>
                <w:color w:val="auto"/>
                <w:w w:val="100"/>
                <w:kern w:val="0"/>
                <w:sz w:val="30"/>
                <w:szCs w:val="30"/>
              </w:rPr>
              <w:t>范围</w:t>
            </w:r>
          </w:p>
        </w:tc>
        <w:tc>
          <w:tcPr>
            <w:tcW w:w="2244" w:type="dxa"/>
            <w:vAlign w:val="center"/>
          </w:tcPr>
          <w:p>
            <w:pPr>
              <w:wordWrap w:val="0"/>
              <w:snapToGrid w:val="0"/>
              <w:spacing w:line="360" w:lineRule="exact"/>
              <w:jc w:val="center"/>
              <w:rPr>
                <w:rFonts w:hint="eastAsia" w:ascii="仿宋_GB2312" w:hAnsi="仿宋_GB2312" w:cs="仿宋_GB2312"/>
                <w:b/>
                <w:bCs/>
                <w:color w:val="auto"/>
                <w:w w:val="100"/>
                <w:kern w:val="0"/>
                <w:sz w:val="30"/>
                <w:szCs w:val="30"/>
              </w:rPr>
            </w:pPr>
            <w:r>
              <w:rPr>
                <w:rFonts w:hint="eastAsia" w:ascii="仿宋_GB2312" w:hAnsi="仿宋_GB2312" w:cs="仿宋_GB2312"/>
                <w:b/>
                <w:bCs/>
                <w:color w:val="auto"/>
                <w:w w:val="100"/>
                <w:kern w:val="0"/>
                <w:sz w:val="30"/>
                <w:szCs w:val="30"/>
              </w:rPr>
              <w:t>环境管控单编码</w:t>
            </w:r>
          </w:p>
        </w:tc>
        <w:tc>
          <w:tcPr>
            <w:tcW w:w="2859" w:type="dxa"/>
            <w:vAlign w:val="center"/>
          </w:tcPr>
          <w:p>
            <w:pPr>
              <w:wordWrap w:val="0"/>
              <w:snapToGrid w:val="0"/>
              <w:spacing w:line="360" w:lineRule="exact"/>
              <w:jc w:val="center"/>
              <w:rPr>
                <w:rFonts w:hint="eastAsia" w:ascii="仿宋_GB2312" w:hAnsi="仿宋_GB2312" w:cs="仿宋_GB2312"/>
                <w:b/>
                <w:bCs/>
                <w:color w:val="auto"/>
                <w:w w:val="100"/>
                <w:kern w:val="0"/>
                <w:sz w:val="30"/>
                <w:szCs w:val="30"/>
              </w:rPr>
            </w:pPr>
            <w:r>
              <w:rPr>
                <w:rFonts w:hint="eastAsia" w:ascii="仿宋_GB2312" w:hAnsi="仿宋_GB2312" w:cs="仿宋_GB2312"/>
                <w:b/>
                <w:bCs/>
                <w:color w:val="auto"/>
                <w:w w:val="100"/>
                <w:kern w:val="0"/>
                <w:sz w:val="30"/>
                <w:szCs w:val="30"/>
              </w:rPr>
              <w:t>环境管控单元名称</w:t>
            </w:r>
          </w:p>
        </w:tc>
        <w:tc>
          <w:tcPr>
            <w:tcW w:w="1987" w:type="dxa"/>
            <w:vAlign w:val="center"/>
          </w:tcPr>
          <w:p>
            <w:pPr>
              <w:wordWrap w:val="0"/>
              <w:snapToGrid w:val="0"/>
              <w:spacing w:line="360" w:lineRule="exact"/>
              <w:jc w:val="center"/>
              <w:rPr>
                <w:rFonts w:hint="eastAsia" w:ascii="仿宋_GB2312" w:hAnsi="仿宋_GB2312" w:cs="仿宋_GB2312"/>
                <w:b/>
                <w:bCs/>
                <w:color w:val="auto"/>
                <w:w w:val="100"/>
                <w:kern w:val="0"/>
                <w:sz w:val="30"/>
                <w:szCs w:val="30"/>
              </w:rPr>
            </w:pPr>
            <w:r>
              <w:rPr>
                <w:rFonts w:hint="eastAsia" w:ascii="仿宋_GB2312" w:hAnsi="仿宋_GB2312" w:cs="仿宋_GB2312"/>
                <w:b/>
                <w:bCs/>
                <w:color w:val="auto"/>
                <w:w w:val="100"/>
                <w:kern w:val="0"/>
                <w:sz w:val="30"/>
                <w:szCs w:val="30"/>
              </w:rPr>
              <w:t>管控单元分类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镇岗乡、凤山乡、三百山镇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ZH36072610001</w:t>
            </w:r>
          </w:p>
        </w:tc>
        <w:tc>
          <w:tcPr>
            <w:tcW w:w="2859" w:type="dxa"/>
            <w:vAlign w:val="center"/>
          </w:tcPr>
          <w:p>
            <w:pPr>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蔡坊乡、高云山乡、天心镇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双芫乡、塘村乡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车头镇、欣山镇、新龙乡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版石镇、重石乡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安远工业园区产城新区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安远工业园区版石工业园区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浮槎乡、长沙乡、龙布镇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安远县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鹤子镇、孔田镇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ZH36072630002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江西省赣州市安远县一般管控单元2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铅厂镇、长龙镇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麟潭乡、金坑乡、过埠镇、杰坝乡、乐洞乡、丰州乡、上堡乡、思顺乡、文英乡、聂都乡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横水镇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关田镇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铅厂镇石底河村</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过埠镇过埠村</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崇义工业园区章源工业片区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崇义工业园区鱼梁工业片区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崇义工业园区关田工业片区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丰州乡古亭村</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文英乡水头村</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文英乡文英村</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ZH36072520010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江西省赣州市崇义县重点管控单元10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崇义县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扬眉镇、龙勾乡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ZH36072530001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江西省赣州市崇义县一般管控单元1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河洞乡、吉村镇、内良乡、浮江乡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左拔镇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黄龙镇、青龙镇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江西大余工业园新世纪工业小区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新城镇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南安镇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江西大余工业园新城工业小区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江西大余工业园新华工业小区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大余县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池江镇、樟斗镇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ZH36072330001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江西省赣州市大余县一般管控单元1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鹅公镇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岿美山镇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历市镇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老城镇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定南工业园区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定南县精细化工产业基地</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岭北镇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39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定南县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龙塘镇、天九镇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ZH36072830001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江西省赣州市定南县一般管控单元1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大埠乡、长洛乡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白鹭乡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湖江镇、沙地镇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储潭镇、茅店镇、梅林镇、大田乡、江口镇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赣州高新技术产业开发区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五云镇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南塘镇、吉埠镇、三溪乡、田村镇、石芫乡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赣县区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韩坊镇、王母渡镇、阳埠乡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ZH36072130002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江西省赣州市赣县区一般管控单元2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湖边镇、黄金岭街道办事处、蟠龙镇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49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赣州市西城区暨香港产业园北区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赣州铜铝产业园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ZH36070220010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赣州新能源汽车科技城</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w:t>
            </w:r>
            <w:r>
              <w:rPr>
                <w:rFonts w:ascii="仿宋_GB2312" w:hAnsi="仿宋_GB2312" w:cs="仿宋_GB2312"/>
                <w:color w:val="auto"/>
                <w:w w:val="100"/>
                <w:kern w:val="0"/>
                <w:sz w:val="30"/>
                <w:szCs w:val="30"/>
              </w:rPr>
              <w:t>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w:t>
            </w:r>
            <w:r>
              <w:rPr>
                <w:rFonts w:ascii="仿宋_GB2312" w:hAnsi="仿宋_GB2312" w:cs="仿宋_GB2312"/>
                <w:color w:val="auto"/>
                <w:w w:val="100"/>
                <w:kern w:val="0"/>
                <w:sz w:val="30"/>
                <w:szCs w:val="30"/>
              </w:rPr>
              <w:t>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三江乡、赣州新能源汽车科技城管理处</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w:t>
            </w:r>
            <w:r>
              <w:rPr>
                <w:rFonts w:ascii="仿宋_GB2312" w:hAnsi="仿宋_GB2312" w:cs="仿宋_GB2312"/>
                <w:color w:val="auto"/>
                <w:w w:val="100"/>
                <w:kern w:val="0"/>
                <w:sz w:val="30"/>
                <w:szCs w:val="30"/>
              </w:rPr>
              <w:t>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凤岗镇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w:t>
            </w:r>
            <w:r>
              <w:rPr>
                <w:rFonts w:ascii="仿宋_GB2312" w:hAnsi="仿宋_GB2312" w:cs="仿宋_GB2312"/>
                <w:color w:val="auto"/>
                <w:w w:val="100"/>
                <w:kern w:val="0"/>
                <w:sz w:val="30"/>
                <w:szCs w:val="30"/>
              </w:rPr>
              <w:t>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赣州经济技术开发区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赣州综合保税区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江西省赣州市赣州经济技术开发区重点管控单元</w:t>
            </w:r>
            <w:r>
              <w:rPr>
                <w:rFonts w:ascii="仿宋_GB2312" w:hAnsi="仿宋_GB2312" w:cs="仿宋_GB2312"/>
                <w:color w:val="auto"/>
                <w:w w:val="100"/>
                <w:kern w:val="0"/>
                <w:sz w:val="30"/>
                <w:szCs w:val="30"/>
              </w:rPr>
              <w:t>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高排乡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清溪乡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洞头乡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富城乡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ZH36073310004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江西省赣州市会昌县优先保护单元4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59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麻州镇、文武坝镇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筠门岭镇、周田镇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会昌工业园区九州工业园区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会昌工业园区九二氟盐化工产业基地</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会昌红狮水泥</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红山铜业</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白鹅乡、珠兰乡、西江镇、庄埠乡、庄口镇、小密乡、晓龙乡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中村乡、永隆乡、右水乡、站塘乡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ZH36073330002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江西省赣州市会昌县一般管控单元2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程龙镇、夹湖乡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九连山林场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69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龙南镇（含金塘片区管委会、城市新区管委会）</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里仁镇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渡江镇、桃江乡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龙南经济技术开发区富康-新圳片区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龙南经济技术开发区里仁片区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龙南经济技术开发区金塘-大罗片区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临塘乡、南亨乡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武当镇、杨村镇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安基山林场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79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龙南市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汶龙镇、关西镇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ZH36072730003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江西省赣州市龙南市一般管控单元3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蓉江办</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十八塘乡、唐江镇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东山办、龙岭镇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龙回镇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镜坝镇、朱坊乡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横寨乡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太窝乡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南康经济开发区龙岭工业园地块一（龙岭东区）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89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南康经济开发区龙岭工业园地块二（龙岭西区）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南康经济开发区龙岭工业园地块三龙岭家具产业基地</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南康经济开发区龙岭工业园地块三东山工业园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南康经济开发区龙岭工业园地块四龙回工业基地</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南康经济开发区镜坝工业园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南康经济开发区龙华工业园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龙华高峰101亩家具集聚区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龙华工业园50亩家具集聚区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龙华工业园98亩家具集聚区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唐江家具集聚区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ZH36070320019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江西省赣州市南康区重点管控单元19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99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镜坝703亩家具集聚区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镜坝联民杉树下家具集聚区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镜坝工业园200亩家具集聚区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东山官坑家具集聚区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东山文峰家具集聚区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龙回150亩家具集聚区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龙回三益家具集聚区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龙回半岭家具集聚区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横寨33亩家具集聚区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横寨108亩家具集聚区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ZH36070320029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江西省赣州市南康区重点管控单元29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109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龙华工业园545亩家具集聚区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龙华工业园224亩家具集聚区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龙华工业园63亩家具集聚区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龙岭工业园龙回基地扩征家具集聚区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朱坊乡、太窝乡家具集聚区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ZH36070320034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江西省赣州市南康区重点管控单元34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大坪乡、横市镇、麻双乡、坪市乡、隆木乡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南康区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浮石乡、赤土乡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江西省赣州市南康区一般管控单元2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大沽乡、小布镇、肖田乡、东韶乡、洛口镇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梅江镇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竹笮乡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119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钓峰乡、黄石镇、固厚乡、田埠乡、湛田乡、对坊乡、东山坝镇、安福乡、长胜镇、田头镇、石上镇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青塘镇</w:t>
            </w:r>
          </w:p>
        </w:tc>
        <w:tc>
          <w:tcPr>
            <w:tcW w:w="2244" w:type="dxa"/>
            <w:vAlign w:val="center"/>
          </w:tcPr>
          <w:p>
            <w:pPr>
              <w:wordWrap w:val="0"/>
              <w:snapToGrid w:val="0"/>
              <w:spacing w:line="360" w:lineRule="exact"/>
              <w:jc w:val="center"/>
              <w:rPr>
                <w:rFonts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黄陂镇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赖村镇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固村镇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会同乡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w:t>
            </w:r>
            <w:r>
              <w:rPr>
                <w:rFonts w:ascii="仿宋_GB2312" w:hAnsi="仿宋_GB2312" w:cs="仿宋_GB2312"/>
                <w:color w:val="auto"/>
                <w:w w:val="100"/>
                <w:kern w:val="0"/>
                <w:sz w:val="30"/>
                <w:szCs w:val="30"/>
              </w:rPr>
              <w:t>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w:t>
            </w:r>
            <w:r>
              <w:rPr>
                <w:rFonts w:ascii="仿宋_GB2312" w:hAnsi="仿宋_GB2312" w:cs="仿宋_GB2312"/>
                <w:color w:val="auto"/>
                <w:w w:val="100"/>
                <w:kern w:val="0"/>
                <w:sz w:val="30"/>
                <w:szCs w:val="30"/>
              </w:rPr>
              <w:t>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宁都县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蔡江乡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ZH3607303000</w:t>
            </w:r>
            <w:r>
              <w:rPr>
                <w:rFonts w:ascii="仿宋_GB2312" w:hAnsi="仿宋_GB2312" w:cs="仿宋_GB2312"/>
                <w:color w:val="auto"/>
                <w:w w:val="100"/>
                <w:kern w:val="0"/>
                <w:sz w:val="30"/>
                <w:szCs w:val="30"/>
              </w:rPr>
              <w:t>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江西省赣州市宁都县一般管控单元</w:t>
            </w:r>
            <w:r>
              <w:rPr>
                <w:rFonts w:ascii="仿宋_GB2312" w:hAnsi="仿宋_GB2312" w:cs="仿宋_GB2312"/>
                <w:color w:val="auto"/>
                <w:w w:val="100"/>
                <w:kern w:val="0"/>
                <w:sz w:val="30"/>
                <w:szCs w:val="30"/>
              </w:rPr>
              <w:t>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南迳镇、中寨乡、大吉山镇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城厢镇、金龙镇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129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江西全南工业园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城厢镇镇仔工业园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城厢镇田心产业园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大吉山镇大吉山矿区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陂头镇陂头工业园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社迳乡石磊工业园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南迳镇华星工业园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南迳芳香产业园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陂头镇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ZH36072920010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江西省赣州市全南县重点管控单元10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社迳乡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ZH36072920011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江西省赣州市全南县重点管控单元11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139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龙源坝镇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全南县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龙下乡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ZH36072930002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江西省赣州市全南县一般管控单元2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蓉江新区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高校园区管理处、潭东镇1、潭口镇1</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ZH36070220011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江西省赣州市蓉江新区重点管控单元</w:t>
            </w:r>
            <w:r>
              <w:rPr>
                <w:rFonts w:ascii="仿宋_GB2312" w:hAnsi="仿宋_GB2312" w:cs="仿宋_GB2312"/>
                <w:color w:val="auto"/>
                <w:w w:val="100"/>
                <w:kern w:val="0"/>
                <w:sz w:val="30"/>
                <w:szCs w:val="30"/>
              </w:rPr>
              <w:t>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蓉江新区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潭东镇2、潭口镇2</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ZH360703</w:t>
            </w:r>
            <w:r>
              <w:rPr>
                <w:rFonts w:ascii="仿宋_GB2312" w:hAnsi="仿宋_GB2312" w:cs="仿宋_GB2312"/>
                <w:color w:val="auto"/>
                <w:w w:val="100"/>
                <w:kern w:val="0"/>
                <w:sz w:val="30"/>
                <w:szCs w:val="30"/>
              </w:rPr>
              <w:t>3</w:t>
            </w:r>
            <w:r>
              <w:rPr>
                <w:rFonts w:hint="eastAsia" w:ascii="仿宋_GB2312" w:hAnsi="仿宋_GB2312" w:cs="仿宋_GB2312"/>
                <w:color w:val="auto"/>
                <w:w w:val="100"/>
                <w:kern w:val="0"/>
                <w:sz w:val="30"/>
                <w:szCs w:val="30"/>
              </w:rPr>
              <w:t>00</w:t>
            </w:r>
            <w:r>
              <w:rPr>
                <w:rFonts w:ascii="仿宋_GB2312" w:hAnsi="仿宋_GB2312" w:cs="仿宋_GB2312"/>
                <w:color w:val="auto"/>
                <w:w w:val="100"/>
                <w:kern w:val="0"/>
                <w:sz w:val="30"/>
                <w:szCs w:val="30"/>
              </w:rPr>
              <w:t>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江西省赣州市蓉江新区一般管控单元1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冈面乡、九堡镇、瑞林镇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拔英乡、泽覃乡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壬田镇、日东乡、大柏地乡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象湖镇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沙洲坝镇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黄柏乡瑞兴于试验区产业集中区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149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武阳镇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瑞金经济技术开发区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谢坊镇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叶坪乡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云石山乡、万田乡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黄柏乡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ZH36078130004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江西省赣州市瑞金市一般管控单元4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瑞金市</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丁陂乡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ZH36078130005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江西省赣州市瑞金市一般管控单元5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陡水镇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平富乡、五指峰乡、双溪乡、水岩乡、寺下镇、安和乡、紫阳乡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159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黄埠镇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上犹工业园区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梅水乡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营前镇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上犹县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油石乡、社溪镇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ZH36072430002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江西省赣州市上犹县一般管控单元2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横江镇（含赣江源镇）、龙岗乡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木兰乡、高田镇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屏山镇、珠坑乡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小松镇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琴江镇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169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古樟工业园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小松创业园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硅产业园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屏山创业园北区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屏山创业园南区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琴江镇森林温泉小镇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江西省赣州市石城县重点管控单元9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大由乡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石城县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丰山乡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ZH36073530002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江西省赣州市石城县一般管控单元2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虎山乡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油山镇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179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古陂镇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嘉定镇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西牛镇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坳</w:t>
            </w:r>
            <w:r>
              <w:rPr>
                <w:rFonts w:hint="eastAsia" w:ascii="微软雅黑" w:hAnsi="微软雅黑" w:eastAsia="微软雅黑" w:cs="微软雅黑"/>
                <w:color w:val="auto"/>
                <w:w w:val="100"/>
                <w:kern w:val="0"/>
                <w:sz w:val="30"/>
                <w:szCs w:val="30"/>
              </w:rPr>
              <w:t>坵</w:t>
            </w:r>
            <w:r>
              <w:rPr>
                <w:rFonts w:hint="eastAsia" w:ascii="仿宋_GB2312" w:hAnsi="仿宋_GB2312" w:cs="仿宋_GB2312"/>
                <w:color w:val="auto"/>
                <w:w w:val="100"/>
                <w:kern w:val="0"/>
                <w:sz w:val="30"/>
                <w:szCs w:val="30"/>
              </w:rPr>
              <w:t>砖厂集聚区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高桥工业小区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大唐工业园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江西信丰高新技术产业园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大塘埠镇、崇仙乡、安西镇、正平镇、万隆乡、小河镇、小江镇、大阿镇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铁石口镇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信丰县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大桥镇、新田镇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ZH36072230003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江西省赣州市信丰县一般管控单元3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189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良村镇、鼎龙乡、东村乡、城岗乡、枫边乡、梅窖镇、南坑乡、古龙冈镇、江背镇、兴江乡、兴莲乡、樟木乡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均村乡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埠头乡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长冈乡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江西兴国经济开发区北园区块一</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江西兴国经济开发区北园区块二</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江西兴国经济开发区南园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潋江镇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兴国县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崇贤乡、龙口镇、隆坪乡、杰村乡、方太乡、茶园乡、高兴镇、永丰乡、社富乡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ZH36073230001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江西省赣州市兴国县一般管控单元1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项山乡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199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罗珊乡1、澄江镇1、桂竹帽镇、三标乡、水源乡、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丹溪乡、龙廷乡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ZH36073410003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江西省赣州市寻乌县优先保护单元3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文峰乡、长宁镇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石排工业片区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黄坳工业片区（民营创业园区）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杨梅园区（生态科技文化产业园）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吉潭镇、南桥镇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晨光镇、菖蒲乡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留车镇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罗珊乡2</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ZH36073430004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江西省赣州市寻乌县一般管控单元4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209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寻乌县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澄江镇2</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ZH36073430005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江西省赣州市寻乌县一般管控单元5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祁禄山镇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ZH36073110002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江西省赣州市于都县优先保护单元2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沙心乡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ZH36073110001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江西省赣州市于都县优先保护单元1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贡江镇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罗坳镇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罗江乡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新陂乡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于都工业园区上欧工业小区、楂林工业园</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于都工业园区罗坳工业小区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排子脑矿</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219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盘古山钨矿</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ZH36073120008</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江西省赣州市于都县重点管控单元8</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万年青水泥</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ZH36073120009</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江西省赣州市于都县重点管控单元9</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金鸡山矿</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ZH36073120010</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江西省赣州市于都县重点管控单元10</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宽田乡、段屋乡、岭背镇、车溪乡、马安乡、利村乡、葛坳乡、靖石乡、银坑镇、铁山垅镇、梓山镇、仙下乡、桥头乡、小溪乡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ZH36073130001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江西省赣州市于都县一般管控单元1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223</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盘古山镇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ZH36073130002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江西省赣州市于都县一般管控单元2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224</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禾丰镇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ZH36073130003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江西省赣州市于都县一般管控单元3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225</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于都县</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黄麟乡</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ZH36073130004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江西省赣州市于都县一般管控单元4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一般管控单元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226</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赣江街道、解放街道</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ZH36070220001</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江西省赣州市章贡区重点管控单元1</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227</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东外街道、南外街道、沙河镇、沙石镇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ZH36070220002</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江西省赣州市章贡区重点管控单元2</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228</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水西镇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ZH36070220003</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江西省赣州市章贡区重点管控单元3</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229</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水东镇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ZH36070220004</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江西省赣州市章贡区重点管控单元4</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230</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水南镇</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ZH36070220005</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江西省赣州市章贡区重点管控单元5</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231</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章贡高新技术产业园区水西园区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ZH36070220006</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江西省赣州市章贡区重点管控单元6</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80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232</w:t>
            </w:r>
          </w:p>
        </w:tc>
        <w:tc>
          <w:tcPr>
            <w:tcW w:w="1611"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章贡区</w:t>
            </w:r>
          </w:p>
        </w:tc>
        <w:tc>
          <w:tcPr>
            <w:tcW w:w="3260" w:type="dxa"/>
            <w:vAlign w:val="center"/>
          </w:tcPr>
          <w:p>
            <w:pPr>
              <w:wordWrap w:val="0"/>
              <w:snapToGrid w:val="0"/>
              <w:spacing w:line="360" w:lineRule="exac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章贡高新技术产业园区沙河园区</w:t>
            </w:r>
          </w:p>
        </w:tc>
        <w:tc>
          <w:tcPr>
            <w:tcW w:w="2244"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ZH36070220007</w:t>
            </w:r>
          </w:p>
        </w:tc>
        <w:tc>
          <w:tcPr>
            <w:tcW w:w="2859" w:type="dxa"/>
            <w:vAlign w:val="center"/>
          </w:tcPr>
          <w:p>
            <w:pPr>
              <w:wordWrap w:val="0"/>
              <w:snapToGrid w:val="0"/>
              <w:spacing w:line="360" w:lineRule="exact"/>
              <w:jc w:val="left"/>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江西省赣州市章贡区重点管控单元7</w:t>
            </w:r>
          </w:p>
        </w:tc>
        <w:tc>
          <w:tcPr>
            <w:tcW w:w="1987" w:type="dxa"/>
            <w:vAlign w:val="center"/>
          </w:tcPr>
          <w:p>
            <w:pPr>
              <w:wordWrap w:val="0"/>
              <w:snapToGrid w:val="0"/>
              <w:spacing w:line="360" w:lineRule="exact"/>
              <w:jc w:val="center"/>
              <w:rPr>
                <w:rFonts w:hint="eastAsia" w:ascii="仿宋_GB2312" w:hAnsi="仿宋_GB2312" w:cs="仿宋_GB2312"/>
                <w:color w:val="auto"/>
                <w:w w:val="100"/>
                <w:kern w:val="0"/>
                <w:sz w:val="30"/>
                <w:szCs w:val="30"/>
              </w:rPr>
            </w:pPr>
            <w:r>
              <w:rPr>
                <w:rFonts w:hint="eastAsia" w:ascii="仿宋_GB2312" w:hAnsi="仿宋_GB2312" w:cs="仿宋_GB2312"/>
                <w:color w:val="auto"/>
                <w:w w:val="100"/>
                <w:kern w:val="0"/>
                <w:sz w:val="30"/>
                <w:szCs w:val="30"/>
              </w:rPr>
              <w:t>重点管控单元</w:t>
            </w:r>
          </w:p>
        </w:tc>
      </w:tr>
      <w:bookmarkEnd w:id="1"/>
    </w:tbl>
    <w:p>
      <w:pPr>
        <w:outlineLvl w:val="0"/>
        <w:rPr>
          <w:rFonts w:ascii="黑体" w:hAnsi="黑体" w:eastAsia="黑体"/>
          <w:w w:val="100"/>
          <w:szCs w:val="32"/>
        </w:rPr>
        <w:sectPr>
          <w:pgSz w:w="16838" w:h="11906" w:orient="landscape"/>
          <w:pgMar w:top="1531" w:right="2098" w:bottom="1531" w:left="1985" w:header="0" w:footer="1701" w:gutter="0"/>
          <w:cols w:space="720" w:num="1"/>
          <w:docGrid w:type="linesAndChars" w:linePitch="435" w:charSpace="0"/>
        </w:sectPr>
      </w:pPr>
    </w:p>
    <w:p>
      <w:pPr>
        <w:spacing w:line="560" w:lineRule="exact"/>
        <w:rPr>
          <w:rFonts w:hint="eastAsia" w:ascii="黑体" w:hAnsi="黑体" w:eastAsia="黑体"/>
          <w:w w:val="100"/>
          <w:szCs w:val="32"/>
        </w:rPr>
      </w:pPr>
    </w:p>
    <w:p/>
    <w:sectPr>
      <w:pgSz w:w="11906" w:h="16838"/>
      <w:pgMar w:top="2098" w:right="1474" w:bottom="2098" w:left="1588" w:header="851" w:footer="1701" w:gutter="0"/>
      <w:cols w:space="720"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altName w:val="微软雅黑"/>
    <w:panose1 w:val="02010601030101010101"/>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55DC"/>
    <w:multiLevelType w:val="multilevel"/>
    <w:tmpl w:val="05E655DC"/>
    <w:lvl w:ilvl="0" w:tentative="0">
      <w:start w:val="2"/>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A017FB"/>
    <w:rsid w:val="79A017F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kern w:val="2"/>
      <w:sz w:val="32"/>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2020-12-13T05:15:00Z</dcterms:created>
  <dc:creator>lenovo</dc:creator>
  <cp:lastModifiedBy>lenovo</cp:lastModifiedBy>
  <dcterms:modified xsi:type="dcterms:W3CDTF">2020-12-13T05:16:24Z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