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/>
        <w:ind w:right="0" w:rightChars="0"/>
        <w:jc w:val="distribute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FF0000"/>
          <w:spacing w:val="-68"/>
          <w:w w:val="75"/>
          <w:sz w:val="76"/>
          <w:szCs w:val="76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FF0000"/>
          <w:spacing w:val="-68"/>
          <w:w w:val="75"/>
          <w:sz w:val="76"/>
          <w:szCs w:val="76"/>
        </w:rPr>
        <w:t>赣州市</w:t>
      </w:r>
      <w:r>
        <w:rPr>
          <w:rFonts w:hint="eastAsia" w:ascii="宋体" w:hAnsi="宋体" w:eastAsia="方正小标宋简体" w:cs="方正小标宋简体"/>
          <w:b w:val="0"/>
          <w:bCs w:val="0"/>
          <w:color w:val="FF0000"/>
          <w:spacing w:val="-68"/>
          <w:w w:val="75"/>
          <w:sz w:val="76"/>
          <w:szCs w:val="76"/>
          <w:lang w:val="en-US" w:eastAsia="zh-CN"/>
        </w:rPr>
        <w:t>文化广电新闻出版旅游局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distribute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FF0000"/>
          <w:spacing w:val="-68"/>
          <w:w w:val="90"/>
          <w:sz w:val="84"/>
          <w:szCs w:val="8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FF0000"/>
          <w:spacing w:val="-68"/>
          <w:w w:val="75"/>
          <w:sz w:val="76"/>
          <w:szCs w:val="76"/>
          <w:lang w:val="en-US" w:eastAsia="zh-CN"/>
        </w:rPr>
        <w:t>赣州市财政局</w:t>
      </w:r>
    </w:p>
    <w:p>
      <w:pPr>
        <w:jc w:val="center"/>
        <w:rPr>
          <w:rFonts w:hint="eastAsia" w:ascii="宋体" w:hAnsi="宋体"/>
        </w:rPr>
      </w:pPr>
    </w:p>
    <w:p>
      <w:pPr>
        <w:jc w:val="center"/>
        <w:rPr>
          <w:rFonts w:hint="eastAsia" w:ascii="宋体" w:hAnsi="宋体"/>
        </w:rPr>
      </w:pPr>
    </w:p>
    <w:p>
      <w:pPr>
        <w:jc w:val="center"/>
        <w:rPr>
          <w:rFonts w:hint="eastAsia" w:ascii="宋体" w:hAnsi="宋体"/>
        </w:rPr>
      </w:pPr>
    </w:p>
    <w:p>
      <w:pPr>
        <w:spacing w:line="520" w:lineRule="exact"/>
        <w:jc w:val="center"/>
        <w:rPr>
          <w:rFonts w:hint="eastAsia"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赣市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文广新</w:t>
      </w:r>
      <w:r>
        <w:rPr>
          <w:rFonts w:hint="eastAsia" w:ascii="宋体" w:hAnsi="宋体" w:eastAsia="仿宋_GB2312" w:cs="仿宋_GB2312"/>
          <w:sz w:val="32"/>
          <w:szCs w:val="32"/>
        </w:rPr>
        <w:t>旅字〔202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 w:cs="仿宋_GB2312"/>
          <w:sz w:val="32"/>
          <w:szCs w:val="32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77</w:t>
      </w:r>
      <w:r>
        <w:rPr>
          <w:rFonts w:hint="eastAsia" w:ascii="宋体" w:hAnsi="宋体" w:eastAsia="仿宋_GB2312" w:cs="仿宋_GB2312"/>
          <w:sz w:val="32"/>
          <w:szCs w:val="32"/>
        </w:rPr>
        <w:t>号</w:t>
      </w:r>
    </w:p>
    <w:p>
      <w:pPr>
        <w:spacing w:line="520" w:lineRule="exact"/>
        <w:rPr>
          <w:rFonts w:hint="eastAsia"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49530</wp:posOffset>
                </wp:positionV>
                <wp:extent cx="5644515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44515" cy="184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3.9pt;height:1.45pt;width:444.45pt;z-index:251658240;mso-width-relative:page;mso-height-relative:page;" filled="f" stroked="t" coordsize="21600,21600" o:gfxdata="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FSk9X0wAAAAYBAAAPAAAAAAAAAAEAIAAAADgAAABkcnMvZG93bnJldi54&#10;bWxQSwECFAAUAAAACACHTuJAOs9bH+kBAACrAwAADgAAAAAAAAABACAAAAA4AQAAZHJzL2Uyb0Rv&#10;Yy54bWxQSwUGAAAAAAYABgBZAQAAk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beforeAutospacing="0" w:after="0" w:afterAutospacing="0" w:line="560" w:lineRule="exact"/>
        <w:jc w:val="center"/>
        <w:textAlignment w:val="baseline"/>
        <w:rPr>
          <w:rStyle w:val="10"/>
          <w:rFonts w:hint="eastAsia" w:ascii="宋体" w:hAnsi="宋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宋体" w:hAnsi="宋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关于</w:t>
      </w:r>
      <w:r>
        <w:rPr>
          <w:rStyle w:val="10"/>
          <w:rFonts w:hint="eastAsia" w:ascii="宋体" w:hAnsi="宋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印发《</w:t>
      </w:r>
      <w:r>
        <w:rPr>
          <w:rStyle w:val="10"/>
          <w:rFonts w:hint="default" w:ascii="宋体" w:hAnsi="宋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江西</w:t>
      </w:r>
      <w:r>
        <w:rPr>
          <w:rStyle w:val="10"/>
          <w:rFonts w:hint="eastAsia" w:ascii="宋体" w:hAnsi="宋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“百县百日”文旅消费季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beforeAutospacing="0" w:after="0" w:afterAutospacing="0" w:line="560" w:lineRule="exact"/>
        <w:jc w:val="center"/>
        <w:textAlignment w:val="baseline"/>
        <w:rPr>
          <w:rStyle w:val="10"/>
          <w:rFonts w:hint="eastAsia" w:ascii="宋体" w:hAnsi="宋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 w:ascii="宋体" w:hAnsi="宋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赣州分会场文旅</w:t>
      </w:r>
      <w:r>
        <w:rPr>
          <w:rStyle w:val="10"/>
          <w:rFonts w:hint="default" w:ascii="宋体" w:hAnsi="宋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消费活动</w:t>
      </w:r>
      <w:r>
        <w:rPr>
          <w:rStyle w:val="10"/>
          <w:rFonts w:hint="eastAsia" w:ascii="宋体" w:hAnsi="宋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方案》</w:t>
      </w:r>
      <w:r>
        <w:rPr>
          <w:rStyle w:val="10"/>
          <w:rFonts w:ascii="宋体" w:hAnsi="宋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的</w:t>
      </w:r>
      <w:r>
        <w:rPr>
          <w:rStyle w:val="10"/>
          <w:rFonts w:hint="eastAsia" w:ascii="宋体" w:hAnsi="宋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通知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ascii="宋体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宋体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各县（市、区）文广新旅局、财政局</w:t>
      </w:r>
      <w:r>
        <w:rPr>
          <w:rStyle w:val="10"/>
          <w:rFonts w:ascii="宋体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10"/>
          <w:rFonts w:hint="eastAsia"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经市政府同意，现将《</w:t>
      </w:r>
      <w:r>
        <w:rPr>
          <w:rStyle w:val="10"/>
          <w:rFonts w:hint="default" w:ascii="宋体" w:hAnsi="宋体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江西</w:t>
      </w:r>
      <w:r>
        <w:rPr>
          <w:rStyle w:val="10"/>
          <w:rFonts w:hint="eastAsia" w:ascii="宋体" w:hAnsi="宋体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“百县百日”文旅消费季赣州分会场文旅消费</w:t>
      </w:r>
      <w:r>
        <w:rPr>
          <w:rStyle w:val="10"/>
          <w:rFonts w:hint="default" w:ascii="宋体" w:hAnsi="宋体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活动</w:t>
      </w:r>
      <w:r>
        <w:rPr>
          <w:rStyle w:val="10"/>
          <w:rFonts w:hint="eastAsia" w:ascii="宋体" w:hAnsi="宋体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方案</w:t>
      </w:r>
      <w:r>
        <w:rPr>
          <w:rStyle w:val="10"/>
          <w:rFonts w:hint="eastAsia"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》印发给你们，认真遵照执行。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hanging="1280" w:hangingChars="400"/>
        <w:jc w:val="both"/>
        <w:textAlignment w:val="baseline"/>
        <w:rPr>
          <w:rStyle w:val="10"/>
          <w:rFonts w:hint="eastAsia" w:ascii="宋体" w:hAnsi="宋体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  <w:r>
        <w:rPr>
          <w:rStyle w:val="10"/>
          <w:rFonts w:hint="eastAsia"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《</w:t>
      </w:r>
      <w:r>
        <w:rPr>
          <w:rStyle w:val="10"/>
          <w:rFonts w:hint="default" w:ascii="宋体" w:hAnsi="宋体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江西</w:t>
      </w:r>
      <w:r>
        <w:rPr>
          <w:rStyle w:val="10"/>
          <w:rFonts w:hint="eastAsia" w:ascii="宋体" w:hAnsi="宋体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“百县百日”文旅消费季赣州分会场文旅消费</w:t>
      </w:r>
      <w:r>
        <w:rPr>
          <w:rStyle w:val="10"/>
          <w:rFonts w:hint="default" w:ascii="宋体" w:hAnsi="宋体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活动</w:t>
      </w:r>
      <w:r>
        <w:rPr>
          <w:rStyle w:val="10"/>
          <w:rFonts w:hint="eastAsia" w:ascii="宋体" w:hAnsi="宋体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方案</w:t>
      </w:r>
      <w:r>
        <w:rPr>
          <w:rStyle w:val="10"/>
          <w:rFonts w:hint="eastAsia"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baseline"/>
        <w:rPr>
          <w:rStyle w:val="10"/>
          <w:rFonts w:hint="eastAsia" w:ascii="宋体" w:hAnsi="宋体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jc w:val="both"/>
        <w:textAlignment w:val="baseline"/>
        <w:rPr>
          <w:rStyle w:val="10"/>
          <w:rFonts w:hint="default"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" w:eastAsia="zh-CN" w:bidi="ar-SA"/>
        </w:rPr>
      </w:pPr>
      <w:r>
        <w:rPr>
          <w:rStyle w:val="10"/>
          <w:rFonts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赣州市文化广电新闻出版旅游局</w:t>
      </w:r>
      <w:r>
        <w:rPr>
          <w:rStyle w:val="10"/>
          <w:rFonts w:hint="eastAsia"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赣州市财政局</w:t>
      </w:r>
      <w:r>
        <w:rPr>
          <w:rStyle w:val="10"/>
          <w:rFonts w:hint="default"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default"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" w:eastAsia="zh-CN" w:bidi="ar-SA"/>
        </w:rPr>
        <w:t xml:space="preserve">                </w:t>
      </w:r>
      <w:r>
        <w:rPr>
          <w:rStyle w:val="10"/>
          <w:rFonts w:hint="eastAsia"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</w:t>
      </w:r>
      <w:r>
        <w:rPr>
          <w:rStyle w:val="10"/>
          <w:rFonts w:hint="default"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" w:eastAsia="zh-CN" w:bidi="ar-SA"/>
        </w:rPr>
        <w:t xml:space="preserve">  </w:t>
      </w:r>
      <w:r>
        <w:rPr>
          <w:rStyle w:val="10"/>
          <w:rFonts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2021年</w:t>
      </w:r>
      <w:r>
        <w:rPr>
          <w:rStyle w:val="10"/>
          <w:rFonts w:hint="eastAsia"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11</w:t>
      </w:r>
      <w:r>
        <w:rPr>
          <w:rStyle w:val="10"/>
          <w:rFonts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10"/>
          <w:rFonts w:hint="eastAsia"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Style w:val="10"/>
          <w:rFonts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tbl>
      <w:tblPr>
        <w:tblStyle w:val="7"/>
        <w:tblpPr w:leftFromText="180" w:rightFromText="180" w:vertAnchor="text" w:horzAnchor="page" w:tblpX="1660" w:tblpY="953"/>
        <w:tblOverlap w:val="never"/>
        <w:tblW w:w="8844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赣州市文化广电新闻出版旅游局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办公室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20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日印发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江西“百县百日”文旅消费季赣州分会场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旅消费活动方案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widowControl w:val="0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一、活动背景及目的</w:t>
      </w:r>
    </w:p>
    <w:p>
      <w:pPr>
        <w:widowControl w:val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江西“百县百日”文旅消费季活动要求，根据市政府第97次常务会会议精神，在做旺国庆黄金周文旅商贸消费的基础上，进一步加速推动消费，扩大内需，引导市民游客在严格落实疫情防控措施的条件下，开展健康、安全地旅游打卡、商贸消费，进一步提振文旅商贸行业的信心，拟继续从市本级文旅发展专项资金中安排1000万元用于开展文旅消费活动，助力江西“百县百日”文旅消费季。</w:t>
      </w:r>
    </w:p>
    <w:p>
      <w:pPr>
        <w:widowControl w:val="0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二、活动主题</w:t>
      </w:r>
    </w:p>
    <w:p>
      <w:pPr>
        <w:widowControl w:val="0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“百县百日”文旅消费季·千万福利大派送 </w:t>
      </w:r>
    </w:p>
    <w:p>
      <w:pPr>
        <w:widowControl w:val="0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三、活动时间</w:t>
      </w:r>
    </w:p>
    <w:p>
      <w:pPr>
        <w:widowControl w:val="0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年11月-12月</w:t>
      </w:r>
    </w:p>
    <w:p>
      <w:pPr>
        <w:widowControl w:val="0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四、活动安排</w:t>
      </w:r>
    </w:p>
    <w:p>
      <w:pPr>
        <w:widowControl w:val="0"/>
        <w:ind w:firstLine="64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（一）推出“脐橙+游乐购”消费抵扣券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（拟发放20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 w:eastAsia="zh-CN"/>
        </w:rPr>
        <w:t>000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份，合计400万元）。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江西“百县百日”文旅消费季和赣南脐橙采摘旅游季活动，突出脐橙+旅游景区、酒店、美食、购物、商超等，用户通过江西赣州文旅等推广渠道，进入活动主题页面，可领取电子消费券。消费券价值200元：含100元脐橙采摘季旅游消费券（分为20、30、50元各一张），凭消费抵扣券可以到指定脐橙采摘园、景区、酒店、餐饮店、旅游购物店无门槛抵扣使用；商超券100元，凭消费抵扣券到指定商超消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使用规则为满200减100元。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（二）推出助力直播带货大赛消费金（总计600万元）。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百县百日”文旅消费季直播带货大赛规则，大赛分为10月28日摸底排位赛、11月11日交叉淘汰赛、11月25日下位淘汰赛、12月3日抢位淘汰赛和12月12日巅峰王者赛五个部分进行，均为高序位PK低序位，最终以直播销售金额总数作为排名及晋级依据。为助力赣州文旅直播带货大赛品牌输出，推动线上线下同时发力，激励各县(市、区)踊跃争先，企业积极让利，将600万元消费金按照赛事阶段，从交叉淘汰赛开始，分别安排148万元、132万元、182万元、138万元，按每场次情况投放至各县（市、区）直播间，作为消费者在直播间购买产品抵扣券、抽奖券，促进赣州文旅产品售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1.摸底排位赛后，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100万元平均分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配给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排位全省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另48万元平均分配给排位全市前6名的县（市、区），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交叉淘汰赛；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平均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分配给参加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下位淘汰赛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的县（市、区）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另32万元平均分配给参加下位淘汰赛全市前4名的县（市、区）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平均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分配给参加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抢位淘汰赛的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另32万元平均分配给每组参赛的全市前2名的县（市、区）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平均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分配给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参加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巅峰王者赛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的县（市、区）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。</w:t>
      </w:r>
    </w:p>
    <w:p>
      <w:pPr>
        <w:widowControl w:val="0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五、有关事项</w:t>
      </w:r>
    </w:p>
    <w:p>
      <w:pPr>
        <w:widowControl w:val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（一）“脐橙+游乐购”消费券从11月15日开始每天上午10点通过赣智旅微信小程序发放，连续发放 5天，每天4000份，共计20000份，发完为止。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若当前时段消费券未领完，则自动划拨到下一时段进行领取。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每个用户仅可领取一次。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指定消费商家由各县（市、区）文广新旅局牵头商商务局、果业局提供有关商家名单。消费券使用期限截止到2021年12月12日，过期未用自动失效。</w:t>
      </w:r>
    </w:p>
    <w:p>
      <w:pPr>
        <w:widowControl w:val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（二）各县（市、区）需对发放在本县的助力直播带货大赛消费金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严格资金管理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，消费金仅限用于大赛期间直播间对消费者的让利和抽奖，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市本级共安排600万元助力各县（市、区）活动开展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。各县（市、区）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安排资金并出台配套政策及操作办法，支持促进消费产品售卖，具体政策措施需向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市文广新旅局报备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p>
      <w:pPr>
        <w:widowControl w:val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（三）市文广新旅局加强对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消费券、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消费金发放的指导和管理，市、县组织对商家核销的消费券、直播间抵扣的消费金进行核定，按程序兑付。</w:t>
      </w:r>
    </w:p>
    <w:p>
      <w:pPr>
        <w:widowControl w:val="0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（四）市、县两级要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形成宣传矩阵，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加大对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“百县百日”文旅消费季·千万福利大派送活动的宣传推广，提升活动热度，提高商家和市民游客参与度，扩大消费季活动成果。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tabs>
          <w:tab w:val="left" w:pos="1939"/>
        </w:tabs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tabs>
          <w:tab w:val="left" w:pos="1939"/>
        </w:tabs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tabs>
          <w:tab w:val="left" w:pos="1873"/>
        </w:tabs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tabs>
          <w:tab w:val="left" w:pos="1873"/>
        </w:tabs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tabs>
          <w:tab w:val="left" w:pos="1873"/>
        </w:tabs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tabs>
          <w:tab w:val="left" w:pos="1873"/>
        </w:tabs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tabs>
          <w:tab w:val="left" w:pos="1873"/>
        </w:tabs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tabs>
          <w:tab w:val="left" w:pos="1873"/>
        </w:tabs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rPr>
          <w:rFonts w:ascii="宋体" w:hAnsi="宋体"/>
          <w:lang w:val="en-US" w:eastAsia="zh-CN"/>
        </w:rPr>
      </w:pPr>
    </w:p>
    <w:sectPr>
      <w:footerReference r:id="rId3" w:type="default"/>
      <w:type w:val="continuous"/>
      <w:pgSz w:w="11906" w:h="16838"/>
      <w:pgMar w:top="2098" w:right="1587" w:bottom="1984" w:left="1587" w:header="851" w:footer="992" w:gutter="0"/>
      <w:lnNumType w:countBy="0"/>
      <w:pgNumType w:fmt="decimal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widowControl/>
      <w:snapToGrid w:val="0"/>
      <w:jc w:val="left"/>
      <w:textAlignment w:val="baseline"/>
      <w:rPr>
        <w:rStyle w:val="10"/>
        <w:rFonts w:ascii="Calibri" w:hAnsi="Calibri"/>
        <w:kern w:val="2"/>
        <w:sz w:val="18"/>
        <w:szCs w:val="22"/>
        <w:lang w:val="en-US" w:eastAsia="zh-CN" w:bidi="ar-SA"/>
      </w:rPr>
    </w:pPr>
    <w:r>
      <w:rPr>
        <w:rStyle w:val="10"/>
        <w:rFonts w:ascii="Calibri" w:hAnsi="Calibri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0"/>
                              <w:rFonts w:ascii="Calibri" w:hAnsi="Calibri" w:eastAsia="宋体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17"/>
                              <w:rFonts w:ascii="Calibri" w:hAnsi="Calibri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anchor="t" upright="true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BZrZjy&#10;0wAAAAUBAAAPAAAAAAAAAAEAIAAAADgAAABkcnMvZG93bnJldi54bWxQSwECFAAUAAAACACHTuJA&#10;59H3AJ4BAAAhAwAADgAAAAAAAAABACAAAAA4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widowControl/>
                      <w:snapToGrid w:val="0"/>
                      <w:jc w:val="left"/>
                      <w:textAlignment w:val="baseline"/>
                      <w:rPr>
                        <w:rStyle w:val="10"/>
                        <w:rFonts w:ascii="Calibri" w:hAnsi="Calibri" w:eastAsia="宋体"/>
                        <w:kern w:val="2"/>
                        <w:sz w:val="18"/>
                        <w:szCs w:val="22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17"/>
                        <w:rFonts w:ascii="Calibri" w:hAnsi="Calibri"/>
                        <w:kern w:val="2"/>
                        <w:sz w:val="21"/>
                        <w:szCs w:val="22"/>
                        <w:lang w:val="en-US" w:eastAsia="zh-CN" w:bidi="ar-S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96"/>
  <w:drawingGridVerticalSpacing w:val="144"/>
  <w:displayHorizontalDrawingGridEvery w:val="1"/>
  <w:displayVerticalDrawingGridEvery w:val="1"/>
  <w:doNotUseMarginsForDrawingGridOrigin w:val="true"/>
  <w:drawingGridHorizontalOrigin w:val="1800"/>
  <w:drawingGridVerticalOrigin w:val="1440"/>
  <w:noPunctuationKerning w:val="true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A0FAE"/>
    <w:rsid w:val="0A4168FA"/>
    <w:rsid w:val="1154726E"/>
    <w:rsid w:val="193B450A"/>
    <w:rsid w:val="20987496"/>
    <w:rsid w:val="3E4750E1"/>
    <w:rsid w:val="3F7EBBB3"/>
    <w:rsid w:val="42D97288"/>
    <w:rsid w:val="454C2B10"/>
    <w:rsid w:val="4F36B382"/>
    <w:rsid w:val="55482280"/>
    <w:rsid w:val="5A7B166D"/>
    <w:rsid w:val="5D3FF1FE"/>
    <w:rsid w:val="5F5B6E43"/>
    <w:rsid w:val="6B1B07C9"/>
    <w:rsid w:val="6DBD33B3"/>
    <w:rsid w:val="6DFFE39B"/>
    <w:rsid w:val="72794695"/>
    <w:rsid w:val="74FACE83"/>
    <w:rsid w:val="77DE866B"/>
    <w:rsid w:val="7BB40233"/>
    <w:rsid w:val="7C394884"/>
    <w:rsid w:val="7FDFFF25"/>
    <w:rsid w:val="DDBBA91C"/>
    <w:rsid w:val="DF53E458"/>
    <w:rsid w:val="DF7E6CAF"/>
    <w:rsid w:val="F5FF0F26"/>
    <w:rsid w:val="F7670E98"/>
    <w:rsid w:val="FD3BE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3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2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szCs w:val="22"/>
      <w:lang w:val="en-US" w:eastAsia="zh-CN" w:bidi="ar-SA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customStyle="1" w:styleId="9">
    <w:name w:val="Heading1"/>
    <w:basedOn w:val="1"/>
    <w:link w:val="12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</w:style>
  <w:style w:type="character" w:customStyle="1" w:styleId="12">
    <w:name w:val="UserStyle_0"/>
    <w:basedOn w:val="10"/>
    <w:link w:val="9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paragraph" w:customStyle="1" w:styleId="13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4">
    <w:name w:val="UserStyle_1"/>
    <w:basedOn w:val="15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15">
    <w:name w:val="UserStyle_2"/>
    <w:basedOn w:val="1"/>
    <w:qFormat/>
    <w:uiPriority w:val="0"/>
    <w:pPr>
      <w:spacing w:after="120"/>
      <w:jc w:val="both"/>
      <w:textAlignment w:val="baseline"/>
    </w:pPr>
  </w:style>
  <w:style w:type="character" w:customStyle="1" w:styleId="16">
    <w:name w:val="UserStyle_3"/>
    <w:basedOn w:val="17"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17">
    <w:name w:val="UserStyle_4"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18">
    <w:name w:val="261"/>
    <w:basedOn w:val="10"/>
    <w:qFormat/>
    <w:uiPriority w:val="0"/>
    <w:rPr>
      <w:rFonts w:cs="等线"/>
      <w:b/>
      <w:bCs/>
      <w:i/>
      <w:iCs/>
      <w:color w:val="4F81BD"/>
    </w:rPr>
  </w:style>
  <w:style w:type="paragraph" w:customStyle="1" w:styleId="19">
    <w:name w:val="UserStyle_5"/>
    <w:basedOn w:val="1"/>
    <w:qFormat/>
    <w:uiPriority w:val="0"/>
    <w:pPr>
      <w:widowControl/>
      <w:spacing w:line="365" w:lineRule="atLeast"/>
      <w:ind w:left="1"/>
      <w:jc w:val="both"/>
      <w:textAlignment w:val="bottom"/>
    </w:pPr>
    <w:rPr>
      <w:rFonts w:ascii="Times New Roman" w:hAnsi="Times New Roman"/>
      <w:kern w:val="0"/>
      <w:sz w:val="20"/>
      <w:szCs w:val="20"/>
      <w:lang w:val="en-US" w:eastAsia="zh-CN" w:bidi="ar-SA"/>
    </w:rPr>
  </w:style>
  <w:style w:type="paragraph" w:customStyle="1" w:styleId="20">
    <w:name w:val="UserStyle_6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1756</Words>
  <Characters>1853</Characters>
  <Paragraphs>60</Paragraphs>
  <TotalTime>0</TotalTime>
  <ScaleCrop>false</ScaleCrop>
  <LinksUpToDate>false</LinksUpToDate>
  <CharactersWithSpaces>1906</CharactersWithSpaces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2021-10-02T01:10:00Z</dcterms:created>
  <dc:creator>Administrator</dc:creator>
  <cp:lastModifiedBy>user</cp:lastModifiedBy>
  <cp:lastPrinted>2021-11-04T08:44:00Z</cp:lastPrinted>
  <dcterms:modified xsi:type="dcterms:W3CDTF">2021-11-04T09:22:22Z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8FF91E26347A4477AC4EB2EE707E878A</vt:lpwstr>
  </property>
</Properties>
</file>