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40" w:lineRule="exact"/>
        <w:jc w:val="center"/>
        <w:rPr>
          <w:rFonts w:ascii="方正小标宋_GBK" w:hAnsi="方正小标宋_GBK" w:eastAsia="方正小标宋_GBK" w:cs="方正小标宋_GBK"/>
          <w:b w:val="0"/>
          <w:bCs w:val="0"/>
          <w:sz w:val="36"/>
          <w:szCs w:val="36"/>
        </w:rPr>
      </w:pPr>
      <w:bookmarkStart w:id="0" w:name="OLE_LINK1"/>
      <w:r>
        <w:rPr>
          <w:rFonts w:hint="eastAsia" w:ascii="方正小标宋_GBK" w:hAnsi="方正小标宋_GBK" w:eastAsia="方正小标宋_GBK" w:cs="方正小标宋_GBK"/>
          <w:b w:val="0"/>
          <w:bCs w:val="0"/>
          <w:sz w:val="36"/>
          <w:szCs w:val="36"/>
        </w:rPr>
        <w:t>赣州市建设工程招标投标办公室2021年部门预算</w:t>
      </w:r>
    </w:p>
    <w:bookmarkEnd w:id="0"/>
    <w:p>
      <w:pPr>
        <w:spacing w:line="540" w:lineRule="exact"/>
        <w:jc w:val="center"/>
        <w:rPr>
          <w:rFonts w:ascii="黑体" w:hAnsi="黑体" w:eastAsia="黑体" w:cs="黑体"/>
          <w:sz w:val="44"/>
          <w:szCs w:val="44"/>
        </w:rPr>
      </w:pPr>
      <w:r>
        <w:rPr>
          <w:rFonts w:hint="eastAsia" w:ascii="黑体" w:hAnsi="黑体" w:eastAsia="黑体" w:cs="黑体"/>
          <w:sz w:val="44"/>
          <w:szCs w:val="44"/>
        </w:rPr>
        <w:t>目  录</w:t>
      </w:r>
    </w:p>
    <w:p>
      <w:pPr>
        <w:spacing w:line="540" w:lineRule="exact"/>
        <w:rPr>
          <w:sz w:val="44"/>
          <w:szCs w:val="44"/>
        </w:rPr>
      </w:pPr>
    </w:p>
    <w:p>
      <w:pPr>
        <w:pStyle w:val="8"/>
        <w:tabs>
          <w:tab w:val="right" w:pos="8306"/>
        </w:tabs>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赣州市建设工程招标投标办公室</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8"/>
        <w:spacing w:line="560" w:lineRule="atLeast"/>
        <w:ind w:firstLine="1120" w:firstLineChars="35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一、部门主要职责</w:t>
      </w:r>
    </w:p>
    <w:p>
      <w:pPr>
        <w:pStyle w:val="8"/>
        <w:spacing w:line="560" w:lineRule="atLeast"/>
        <w:ind w:firstLine="1280" w:firstLineChars="40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w:t>
      </w:r>
      <w:r>
        <w:rPr>
          <w:rFonts w:hint="eastAsia" w:ascii="Adobe 仿宋 Std R" w:hAnsi="Adobe 仿宋 Std R" w:eastAsia="Adobe 仿宋 Std R" w:cs="黑体"/>
          <w:kern w:val="2"/>
          <w:sz w:val="32"/>
          <w:szCs w:val="30"/>
        </w:rPr>
        <w:t>机构设置及人员情况</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赣州市建设工程招标投标办公室</w:t>
      </w:r>
      <w:r>
        <w:fldChar w:fldCharType="end"/>
      </w:r>
      <w:r>
        <w:rPr>
          <w:rFonts w:hint="eastAsia" w:ascii="仿宋_GB2312" w:eastAsia="仿宋_GB2312"/>
          <w:b/>
          <w:bCs/>
          <w:color w:val="000000"/>
          <w:sz w:val="32"/>
          <w:szCs w:val="32"/>
        </w:rPr>
        <w:t>2021年部门预算表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一、《收支预算总表》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二、《部门收入总表》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三、《部门支出总表》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四、《财政拨款收支总表》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五、《一般公共预算支出表》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六、《一般公共预算基本支出表》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七、《一般公共预算“三公”经费支出表》</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八、《政府性基金预算支出表》</w:t>
      </w:r>
    </w:p>
    <w:p>
      <w:pPr>
        <w:pStyle w:val="8"/>
        <w:tabs>
          <w:tab w:val="left" w:pos="6546"/>
        </w:tabs>
        <w:spacing w:line="560" w:lineRule="atLeast"/>
        <w:ind w:firstLine="1280"/>
        <w:jc w:val="left"/>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九、</w:t>
      </w:r>
      <w:r>
        <w:rPr>
          <w:rFonts w:ascii="Adobe 仿宋 Std R" w:hAnsi="Adobe 仿宋 Std R" w:eastAsia="Adobe 仿宋 Std R" w:cs="黑体"/>
          <w:kern w:val="2"/>
          <w:sz w:val="32"/>
          <w:szCs w:val="30"/>
        </w:rPr>
        <w:t>《</w:t>
      </w:r>
      <w:r>
        <w:rPr>
          <w:rFonts w:hint="eastAsia" w:ascii="Adobe 仿宋 Std R" w:hAnsi="Adobe 仿宋 Std R" w:eastAsia="Adobe 仿宋 Std R" w:cs="黑体"/>
          <w:kern w:val="2"/>
          <w:sz w:val="32"/>
          <w:szCs w:val="30"/>
        </w:rPr>
        <w:t>重点项目绩效目标表</w:t>
      </w:r>
      <w:r>
        <w:rPr>
          <w:rFonts w:ascii="Adobe 仿宋 Std R" w:hAnsi="Adobe 仿宋 Std R" w:eastAsia="Adobe 仿宋 Std R" w:cs="黑体"/>
          <w:kern w:val="2"/>
          <w:sz w:val="32"/>
          <w:szCs w:val="30"/>
        </w:rPr>
        <w:t>》</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赣州市建设工程招标投标办公室</w:t>
      </w:r>
      <w:r>
        <w:fldChar w:fldCharType="end"/>
      </w:r>
      <w:r>
        <w:rPr>
          <w:rFonts w:hint="eastAsia" w:ascii="仿宋_GB2312" w:eastAsia="仿宋_GB2312"/>
          <w:b/>
          <w:bCs/>
          <w:color w:val="000000"/>
          <w:sz w:val="32"/>
          <w:szCs w:val="32"/>
        </w:rPr>
        <w:t>2021年部门预算情况说明</w:t>
      </w:r>
    </w:p>
    <w:p>
      <w:pPr>
        <w:pStyle w:val="8"/>
        <w:spacing w:line="560" w:lineRule="atLeast"/>
        <w:ind w:firstLine="128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一、</w:t>
      </w:r>
      <w:r>
        <w:rPr>
          <w:rFonts w:hint="eastAsia" w:ascii="Adobe 仿宋 Std R" w:hAnsi="Adobe 仿宋 Std R" w:eastAsia="Adobe 仿宋 Std R" w:cs="黑体"/>
          <w:kern w:val="2"/>
          <w:sz w:val="32"/>
          <w:szCs w:val="30"/>
        </w:rPr>
        <w:t>2021</w:t>
      </w:r>
      <w:r>
        <w:rPr>
          <w:rFonts w:ascii="Adobe 仿宋 Std R" w:hAnsi="Adobe 仿宋 Std R" w:eastAsia="Adobe 仿宋 Std R" w:cs="黑体"/>
          <w:kern w:val="2"/>
          <w:sz w:val="32"/>
          <w:szCs w:val="30"/>
        </w:rPr>
        <w:t>年部门预算收支情况说明</w:t>
      </w:r>
    </w:p>
    <w:p>
      <w:pPr>
        <w:pStyle w:val="8"/>
        <w:spacing w:line="560" w:lineRule="atLeast"/>
        <w:ind w:firstLine="1120" w:firstLineChars="350"/>
        <w:jc w:val="left"/>
        <w:rPr>
          <w:rFonts w:ascii="Adobe 仿宋 Std R" w:hAnsi="Adobe 仿宋 Std R" w:eastAsia="Adobe 仿宋 Std R" w:cs="黑体"/>
          <w:kern w:val="2"/>
          <w:sz w:val="32"/>
          <w:szCs w:val="30"/>
        </w:rPr>
      </w:pPr>
      <w:r>
        <w:rPr>
          <w:rFonts w:ascii="Adobe 仿宋 Std R" w:hAnsi="Adobe 仿宋 Std R" w:eastAsia="Adobe 仿宋 Std R" w:cs="黑体"/>
          <w:kern w:val="2"/>
          <w:sz w:val="32"/>
          <w:szCs w:val="30"/>
        </w:rPr>
        <w:t xml:space="preserve"> 二、</w:t>
      </w:r>
      <w:r>
        <w:rPr>
          <w:rFonts w:hint="eastAsia" w:ascii="Adobe 仿宋 Std R" w:hAnsi="Adobe 仿宋 Std R" w:eastAsia="Adobe 仿宋 Std R" w:cs="黑体"/>
          <w:kern w:val="2"/>
          <w:sz w:val="32"/>
          <w:szCs w:val="30"/>
        </w:rPr>
        <w:t>2021</w:t>
      </w:r>
      <w:r>
        <w:rPr>
          <w:rFonts w:ascii="Adobe 仿宋 Std R" w:hAnsi="Adobe 仿宋 Std R" w:eastAsia="Adobe 仿宋 Std R" w:cs="黑体"/>
          <w:kern w:val="2"/>
          <w:sz w:val="32"/>
          <w:szCs w:val="30"/>
        </w:rPr>
        <w:t>年“三公”经费预算情况说明</w:t>
      </w:r>
    </w:p>
    <w:p>
      <w:pPr>
        <w:pStyle w:val="8"/>
        <w:spacing w:line="56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40" w:lineRule="exact"/>
        <w:jc w:val="center"/>
        <w:rPr>
          <w:rFonts w:ascii="仿宋" w:hAnsi="仿宋" w:eastAsia="仿宋" w:cs="仿宋"/>
          <w:b/>
          <w:sz w:val="32"/>
          <w:szCs w:val="32"/>
        </w:rPr>
      </w:pPr>
    </w:p>
    <w:p>
      <w:pPr>
        <w:pStyle w:val="3"/>
        <w:tabs>
          <w:tab w:val="left" w:pos="2307"/>
        </w:tabs>
        <w:spacing w:before="25"/>
        <w:ind w:firstLine="480" w:firstLineChars="150"/>
        <w:rPr>
          <w:rFonts w:ascii="仿宋" w:hAnsi="仿宋" w:eastAsia="仿宋"/>
          <w:lang w:eastAsia="zh-CN"/>
        </w:rPr>
      </w:pPr>
      <w:r>
        <w:rPr>
          <w:rFonts w:ascii="仿宋" w:hAnsi="仿宋" w:eastAsia="仿宋"/>
          <w:color w:val="151518"/>
          <w:lang w:eastAsia="zh-CN"/>
        </w:rPr>
        <w:t>第一部分</w:t>
      </w:r>
      <w:r>
        <w:rPr>
          <w:rFonts w:ascii="仿宋" w:hAnsi="仿宋" w:eastAsia="仿宋"/>
          <w:color w:val="151518"/>
          <w:lang w:eastAsia="zh-CN"/>
        </w:rPr>
        <w:tab/>
      </w:r>
      <w:r>
        <w:rPr>
          <w:rFonts w:ascii="仿宋" w:hAnsi="仿宋" w:eastAsia="仿宋"/>
          <w:color w:val="2F2F31"/>
          <w:spacing w:val="16"/>
          <w:lang w:eastAsia="zh-CN"/>
        </w:rPr>
        <w:t>赣州市</w:t>
      </w:r>
      <w:r>
        <w:rPr>
          <w:rFonts w:ascii="仿宋" w:hAnsi="仿宋" w:eastAsia="仿宋"/>
          <w:color w:val="151518"/>
          <w:lang w:eastAsia="zh-CN"/>
        </w:rPr>
        <w:t>建设工程招标投标办公室单位概况</w:t>
      </w:r>
    </w:p>
    <w:p>
      <w:pPr>
        <w:pStyle w:val="3"/>
        <w:spacing w:before="219"/>
        <w:ind w:firstLine="840" w:firstLineChars="250"/>
        <w:jc w:val="both"/>
        <w:rPr>
          <w:rFonts w:ascii="仿宋" w:hAnsi="仿宋" w:eastAsia="仿宋"/>
          <w:lang w:eastAsia="zh-CN"/>
        </w:rPr>
      </w:pPr>
      <w:r>
        <w:rPr>
          <w:rFonts w:ascii="仿宋" w:hAnsi="仿宋" w:eastAsia="仿宋"/>
          <w:color w:val="2F2F31"/>
          <w:w w:val="105"/>
          <w:lang w:eastAsia="zh-CN"/>
        </w:rPr>
        <w:t>一</w:t>
      </w:r>
      <w:r>
        <w:rPr>
          <w:rFonts w:ascii="仿宋" w:hAnsi="仿宋" w:eastAsia="仿宋"/>
          <w:color w:val="151518"/>
          <w:w w:val="105"/>
          <w:lang w:eastAsia="zh-CN"/>
        </w:rPr>
        <w:t>、部门主要职责</w:t>
      </w:r>
    </w:p>
    <w:p>
      <w:pPr>
        <w:pStyle w:val="3"/>
        <w:tabs>
          <w:tab w:val="left" w:pos="4754"/>
          <w:tab w:val="left" w:pos="6271"/>
        </w:tabs>
        <w:spacing w:before="109" w:line="364" w:lineRule="auto"/>
        <w:ind w:left="239" w:right="432" w:firstLine="639"/>
        <w:jc w:val="both"/>
        <w:rPr>
          <w:rFonts w:ascii="仿宋" w:hAnsi="仿宋" w:eastAsia="仿宋"/>
          <w:color w:val="2F2F31"/>
          <w:w w:val="95"/>
          <w:lang w:eastAsia="zh-CN"/>
        </w:rPr>
      </w:pPr>
      <w:r>
        <w:rPr>
          <w:rFonts w:ascii="仿宋" w:hAnsi="仿宋" w:eastAsia="仿宋"/>
          <w:color w:val="2F2F31"/>
          <w:w w:val="95"/>
          <w:lang w:eastAsia="zh-CN"/>
        </w:rPr>
        <w:t>贯彻执行国家和有关工程建设招标投标的法律</w:t>
      </w:r>
      <w:r>
        <w:rPr>
          <w:rFonts w:ascii="仿宋" w:hAnsi="仿宋" w:eastAsia="仿宋"/>
          <w:color w:val="151518"/>
          <w:spacing w:val="7"/>
          <w:w w:val="95"/>
          <w:lang w:eastAsia="zh-CN"/>
        </w:rPr>
        <w:t>、</w:t>
      </w:r>
      <w:r>
        <w:rPr>
          <w:rFonts w:ascii="仿宋" w:hAnsi="仿宋" w:eastAsia="仿宋"/>
          <w:color w:val="2F2F31"/>
          <w:w w:val="95"/>
          <w:lang w:eastAsia="zh-CN"/>
        </w:rPr>
        <w:t>法规</w:t>
      </w:r>
      <w:r>
        <w:rPr>
          <w:rFonts w:ascii="仿宋" w:hAnsi="仿宋" w:eastAsia="仿宋"/>
          <w:color w:val="484849"/>
          <w:spacing w:val="-16"/>
          <w:w w:val="95"/>
          <w:lang w:eastAsia="zh-CN"/>
        </w:rPr>
        <w:t>和</w:t>
      </w:r>
      <w:r>
        <w:rPr>
          <w:rFonts w:ascii="仿宋" w:hAnsi="仿宋" w:eastAsia="仿宋"/>
          <w:color w:val="2F2F31"/>
          <w:w w:val="95"/>
          <w:lang w:eastAsia="zh-CN"/>
        </w:rPr>
        <w:t>规</w:t>
      </w:r>
      <w:r>
        <w:rPr>
          <w:rFonts w:ascii="仿宋" w:hAnsi="仿宋" w:eastAsia="仿宋"/>
          <w:color w:val="2F2F31"/>
          <w:spacing w:val="41"/>
          <w:w w:val="95"/>
          <w:lang w:eastAsia="zh-CN"/>
        </w:rPr>
        <w:t>章</w:t>
      </w:r>
      <w:r>
        <w:rPr>
          <w:rFonts w:ascii="仿宋" w:hAnsi="仿宋" w:eastAsia="仿宋"/>
          <w:color w:val="151518"/>
          <w:w w:val="85"/>
          <w:lang w:eastAsia="zh-CN"/>
        </w:rPr>
        <w:t>，</w:t>
      </w:r>
      <w:r>
        <w:rPr>
          <w:rFonts w:ascii="仿宋" w:hAnsi="仿宋" w:eastAsia="仿宋"/>
          <w:color w:val="2F2F31"/>
          <w:w w:val="95"/>
          <w:lang w:eastAsia="zh-CN"/>
        </w:rPr>
        <w:t>协助建设行政主管部门制定有关工程招标投标的规范性文件；依法对工程招标投标活动进行行政监督和管理，负责受理工程招标备案；依法查处招投标活动中的违法、违规行为，受理工程招标投标问题的投诉</w:t>
      </w:r>
      <w:r>
        <w:rPr>
          <w:rFonts w:ascii="仿宋" w:hAnsi="仿宋" w:eastAsia="仿宋"/>
          <w:color w:val="2F2F31"/>
          <w:w w:val="95"/>
          <w:lang w:eastAsia="zh-CN"/>
        </w:rPr>
        <w:tab/>
      </w:r>
      <w:r>
        <w:rPr>
          <w:rFonts w:ascii="仿宋" w:hAnsi="仿宋" w:eastAsia="仿宋"/>
          <w:color w:val="2F2F31"/>
          <w:w w:val="95"/>
          <w:lang w:eastAsia="zh-CN"/>
        </w:rPr>
        <w:t>，调解招标投标活动纠纷；负责工程建设项目招标代理机构的管理工作，负责本行政区域有形建筑市场的业务指导和协调工作；负责对房建市政类评标专家库的组建和管理工作；建设行政主管部门委托办理的其它工作。</w:t>
      </w:r>
    </w:p>
    <w:p>
      <w:pPr>
        <w:pStyle w:val="8"/>
        <w:spacing w:line="560" w:lineRule="atLeast"/>
        <w:ind w:firstLine="893" w:firstLineChars="294"/>
        <w:rPr>
          <w:rFonts w:ascii="仿宋" w:hAnsi="仿宋" w:eastAsia="仿宋" w:cs="宋体"/>
          <w:color w:val="2F2F31"/>
          <w:w w:val="95"/>
          <w:sz w:val="32"/>
          <w:szCs w:val="32"/>
        </w:rPr>
      </w:pPr>
      <w:r>
        <w:rPr>
          <w:rFonts w:ascii="仿宋" w:hAnsi="仿宋" w:eastAsia="仿宋" w:cs="宋体"/>
          <w:color w:val="2F2F31"/>
          <w:w w:val="95"/>
          <w:sz w:val="32"/>
          <w:szCs w:val="32"/>
        </w:rPr>
        <w:t>二、</w:t>
      </w:r>
      <w:r>
        <w:rPr>
          <w:rFonts w:hint="eastAsia" w:ascii="仿宋" w:hAnsi="仿宋" w:eastAsia="仿宋" w:cs="宋体"/>
          <w:color w:val="2F2F31"/>
          <w:w w:val="95"/>
          <w:sz w:val="32"/>
          <w:szCs w:val="32"/>
        </w:rPr>
        <w:t>机构设置及人员情况</w:t>
      </w:r>
    </w:p>
    <w:p>
      <w:pPr>
        <w:pStyle w:val="8"/>
        <w:spacing w:line="560" w:lineRule="atLeast"/>
        <w:ind w:firstLine="893" w:firstLineChars="294"/>
        <w:rPr>
          <w:rFonts w:ascii="仿宋" w:hAnsi="仿宋" w:eastAsia="仿宋" w:cs="宋体"/>
          <w:color w:val="2F2F31"/>
          <w:w w:val="95"/>
          <w:sz w:val="32"/>
          <w:szCs w:val="32"/>
        </w:rPr>
      </w:pPr>
      <w:r>
        <w:rPr>
          <w:rFonts w:ascii="仿宋" w:hAnsi="仿宋" w:eastAsia="仿宋" w:cs="宋体"/>
          <w:color w:val="2F2F31"/>
          <w:w w:val="95"/>
          <w:sz w:val="32"/>
          <w:szCs w:val="32"/>
        </w:rPr>
        <w:t>赣州市建设工程招标投标办公室是赣州市住房和城乡建设局下属正科级全额拨款事业单位，参加公务员法管理。编制数6人，现实有人数4人，其中在职人数4人，参公人员4人；离休人员1人；退休人员3人。</w:t>
      </w:r>
    </w:p>
    <w:p>
      <w:pPr>
        <w:widowControl/>
        <w:spacing w:line="580" w:lineRule="exact"/>
        <w:jc w:val="center"/>
        <w:rPr>
          <w:rFonts w:ascii="仿宋" w:hAnsi="仿宋" w:eastAsia="仿宋"/>
          <w:sz w:val="32"/>
          <w:szCs w:val="30"/>
        </w:rPr>
      </w:pPr>
    </w:p>
    <w:p>
      <w:pPr>
        <w:widowControl/>
        <w:spacing w:line="580" w:lineRule="exact"/>
        <w:jc w:val="center"/>
        <w:rPr>
          <w:rFonts w:ascii="仿宋" w:hAnsi="仿宋" w:eastAsia="仿宋"/>
          <w:sz w:val="32"/>
          <w:szCs w:val="30"/>
        </w:rPr>
      </w:pPr>
      <w:r>
        <w:rPr>
          <w:rFonts w:hint="eastAsia" w:ascii="仿宋" w:hAnsi="仿宋" w:eastAsia="仿宋"/>
          <w:sz w:val="32"/>
          <w:szCs w:val="30"/>
        </w:rPr>
        <w:t>第二部分 赣州市建设工程招标投标办公室</w:t>
      </w:r>
    </w:p>
    <w:p>
      <w:pPr>
        <w:widowControl/>
        <w:spacing w:line="580" w:lineRule="exact"/>
        <w:jc w:val="center"/>
        <w:rPr>
          <w:rFonts w:ascii="仿宋" w:hAnsi="仿宋" w:eastAsia="仿宋"/>
          <w:sz w:val="32"/>
          <w:szCs w:val="30"/>
        </w:rPr>
      </w:pPr>
      <w:r>
        <w:rPr>
          <w:rFonts w:hint="eastAsia" w:ascii="仿宋" w:hAnsi="仿宋" w:eastAsia="仿宋"/>
          <w:sz w:val="32"/>
          <w:szCs w:val="30"/>
        </w:rPr>
        <w:t>2021年部门预算表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pStyle w:val="3"/>
        <w:jc w:val="both"/>
        <w:rPr>
          <w:rFonts w:ascii="仿宋" w:hAnsi="仿宋" w:eastAsia="仿宋"/>
          <w:color w:val="2F2F31"/>
          <w:w w:val="95"/>
          <w:lang w:eastAsia="zh-CN"/>
        </w:rPr>
      </w:pPr>
    </w:p>
    <w:p>
      <w:pPr>
        <w:widowControl/>
        <w:spacing w:line="580" w:lineRule="exact"/>
        <w:jc w:val="center"/>
        <w:rPr>
          <w:rFonts w:ascii="仿宋_GB2312" w:hAnsi="Calibri" w:eastAsia="仿宋_GB2312" w:cs="宋体"/>
          <w:b/>
          <w:kern w:val="0"/>
          <w:sz w:val="32"/>
          <w:szCs w:val="32"/>
        </w:rPr>
      </w:pPr>
    </w:p>
    <w:p>
      <w:pPr>
        <w:widowControl/>
        <w:spacing w:line="580" w:lineRule="exact"/>
        <w:jc w:val="center"/>
        <w:rPr>
          <w:rFonts w:ascii="仿宋" w:hAnsi="仿宋" w:eastAsia="仿宋" w:cs="宋体"/>
          <w:b/>
          <w:kern w:val="0"/>
          <w:sz w:val="32"/>
          <w:szCs w:val="32"/>
        </w:rPr>
      </w:pPr>
      <w:r>
        <w:rPr>
          <w:rFonts w:hint="eastAsia" w:ascii="仿宋" w:hAnsi="仿宋" w:eastAsia="仿宋" w:cs="宋体"/>
          <w:b/>
          <w:kern w:val="0"/>
          <w:sz w:val="32"/>
          <w:szCs w:val="32"/>
        </w:rPr>
        <w:t>第三部分 赣州市建设工程招标投标办公室</w:t>
      </w:r>
    </w:p>
    <w:p>
      <w:pPr>
        <w:widowControl/>
        <w:spacing w:line="580" w:lineRule="exact"/>
        <w:jc w:val="center"/>
        <w:rPr>
          <w:rFonts w:ascii="仿宋" w:hAnsi="仿宋" w:eastAsia="仿宋"/>
          <w:b/>
          <w:sz w:val="32"/>
          <w:szCs w:val="32"/>
        </w:rPr>
      </w:pPr>
      <w:r>
        <w:rPr>
          <w:rFonts w:hint="eastAsia" w:ascii="仿宋" w:hAnsi="仿宋" w:eastAsia="仿宋"/>
          <w:b/>
          <w:sz w:val="32"/>
          <w:szCs w:val="32"/>
        </w:rPr>
        <w:t>2021年部门预算情况说明</w:t>
      </w:r>
    </w:p>
    <w:p>
      <w:pPr>
        <w:widowControl/>
        <w:spacing w:line="580" w:lineRule="exact"/>
        <w:jc w:val="center"/>
        <w:rPr>
          <w:rFonts w:ascii="仿宋" w:hAnsi="仿宋" w:eastAsia="仿宋"/>
          <w:b/>
          <w:sz w:val="32"/>
          <w:szCs w:val="32"/>
        </w:rPr>
      </w:pPr>
    </w:p>
    <w:p>
      <w:pPr>
        <w:widowControl/>
        <w:spacing w:line="580" w:lineRule="exact"/>
        <w:ind w:firstLine="643" w:firstLineChars="200"/>
        <w:jc w:val="left"/>
        <w:rPr>
          <w:rFonts w:ascii="仿宋" w:hAnsi="仿宋" w:eastAsia="仿宋"/>
          <w:b/>
          <w:sz w:val="32"/>
          <w:szCs w:val="32"/>
        </w:rPr>
      </w:pPr>
      <w:r>
        <w:rPr>
          <w:rFonts w:hint="eastAsia" w:ascii="仿宋" w:hAnsi="仿宋" w:eastAsia="仿宋"/>
          <w:b/>
          <w:sz w:val="32"/>
          <w:szCs w:val="32"/>
        </w:rPr>
        <w:t>一、2021年部门预算收支情况说明</w:t>
      </w:r>
    </w:p>
    <w:p>
      <w:pPr>
        <w:ind w:firstLine="472" w:firstLineChars="147"/>
        <w:rPr>
          <w:rStyle w:val="9"/>
          <w:rFonts w:ascii="仿宋" w:hAnsi="仿宋" w:eastAsia="仿宋" w:cs="仿宋_GB2312"/>
          <w:b/>
          <w:sz w:val="32"/>
          <w:szCs w:val="32"/>
        </w:rPr>
      </w:pPr>
      <w:r>
        <w:rPr>
          <w:rStyle w:val="9"/>
          <w:rFonts w:hint="eastAsia" w:ascii="仿宋" w:hAnsi="仿宋" w:eastAsia="仿宋" w:cs="仿宋_GB2312"/>
          <w:b/>
          <w:sz w:val="32"/>
          <w:szCs w:val="32"/>
        </w:rPr>
        <w:t>(一)收入预算情况</w:t>
      </w:r>
    </w:p>
    <w:p>
      <w:pPr>
        <w:widowControl/>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2021年赣州市建设工程招标投标办公室收入预算总额为88.97万元,较上年预算安排增加5.75万元,</w:t>
      </w:r>
      <w:r>
        <w:rPr>
          <w:rFonts w:hint="eastAsia" w:ascii="仿宋" w:hAnsi="仿宋" w:eastAsia="仿宋" w:cs="仿宋_GB2312"/>
          <w:bCs/>
          <w:color w:val="000000" w:themeColor="text1"/>
          <w:kern w:val="0"/>
          <w:sz w:val="32"/>
          <w:szCs w:val="32"/>
        </w:rPr>
        <w:t>主要因为是上年结转及人员工资增加等</w:t>
      </w:r>
      <w:r>
        <w:rPr>
          <w:rFonts w:hint="eastAsia" w:ascii="仿宋" w:hAnsi="仿宋" w:eastAsia="仿宋" w:cs="仿宋_GB2312"/>
          <w:kern w:val="0"/>
          <w:sz w:val="32"/>
          <w:szCs w:val="32"/>
        </w:rPr>
        <w:t>。其中：财政拨款收入81.22万元，教育收费资金收入0万元，事业单位经营收入0万元，国库集中支付网上结转7.75万元。</w:t>
      </w:r>
    </w:p>
    <w:p>
      <w:pPr>
        <w:ind w:firstLine="321" w:firstLineChars="100"/>
        <w:rPr>
          <w:rStyle w:val="9"/>
          <w:rFonts w:ascii="仿宋" w:hAnsi="仿宋" w:eastAsia="仿宋" w:cs="仿宋_GB2312"/>
          <w:b/>
          <w:sz w:val="32"/>
          <w:szCs w:val="32"/>
        </w:rPr>
      </w:pPr>
      <w:r>
        <w:rPr>
          <w:rStyle w:val="9"/>
          <w:rFonts w:hint="eastAsia" w:ascii="仿宋" w:hAnsi="仿宋" w:eastAsia="仿宋" w:cs="仿宋_GB2312"/>
          <w:b/>
          <w:sz w:val="32"/>
          <w:szCs w:val="32"/>
        </w:rPr>
        <w:t xml:space="preserve"> (二)支出预算情况</w:t>
      </w:r>
    </w:p>
    <w:p>
      <w:pPr>
        <w:ind w:firstLine="320" w:firstLineChars="100"/>
        <w:rPr>
          <w:rFonts w:ascii="仿宋" w:hAnsi="仿宋" w:eastAsia="仿宋" w:cs="仿宋_GB2312"/>
          <w:b/>
          <w:bCs/>
          <w:color w:val="FF0000"/>
          <w:kern w:val="0"/>
          <w:sz w:val="32"/>
          <w:szCs w:val="32"/>
        </w:rPr>
      </w:pPr>
      <w:r>
        <w:rPr>
          <w:rStyle w:val="9"/>
          <w:rFonts w:hint="eastAsia" w:ascii="仿宋" w:hAnsi="仿宋" w:eastAsia="仿宋" w:cs="仿宋_GB2312"/>
          <w:sz w:val="32"/>
          <w:szCs w:val="32"/>
        </w:rPr>
        <w:t>2021年</w:t>
      </w:r>
      <w:r>
        <w:rPr>
          <w:rFonts w:hint="eastAsia" w:ascii="仿宋" w:hAnsi="仿宋" w:eastAsia="仿宋" w:cs="仿宋_GB2312"/>
          <w:kern w:val="0"/>
          <w:sz w:val="32"/>
          <w:szCs w:val="32"/>
        </w:rPr>
        <w:t>赣州市建设工程招标投标办公室</w:t>
      </w:r>
      <w:r>
        <w:rPr>
          <w:rStyle w:val="9"/>
          <w:rFonts w:hint="eastAsia" w:ascii="仿宋" w:hAnsi="仿宋" w:eastAsia="仿宋" w:cs="仿宋_GB2312"/>
          <w:sz w:val="32"/>
          <w:szCs w:val="32"/>
        </w:rPr>
        <w:t>支出预算总额为支出预算总额为88.97万元,较上年预算安排增加5.75万元,</w:t>
      </w:r>
      <w:r>
        <w:rPr>
          <w:rFonts w:hint="eastAsia" w:ascii="仿宋" w:hAnsi="仿宋" w:eastAsia="仿宋" w:cs="仿宋_GB2312"/>
          <w:bCs/>
          <w:color w:val="000000" w:themeColor="text1"/>
          <w:kern w:val="0"/>
          <w:sz w:val="32"/>
          <w:szCs w:val="32"/>
        </w:rPr>
        <w:t xml:space="preserve"> 主要因为是上年结转及人员工资增加等</w:t>
      </w:r>
      <w:r>
        <w:rPr>
          <w:rFonts w:hint="eastAsia" w:ascii="仿宋" w:hAnsi="仿宋" w:eastAsia="仿宋" w:cs="仿宋_GB2312"/>
          <w:kern w:val="0"/>
          <w:sz w:val="32"/>
          <w:szCs w:val="32"/>
        </w:rPr>
        <w:t>。</w:t>
      </w:r>
    </w:p>
    <w:p>
      <w:pPr>
        <w:ind w:firstLine="320" w:firstLineChars="100"/>
        <w:rPr>
          <w:rStyle w:val="9"/>
          <w:rFonts w:ascii="仿宋" w:hAnsi="仿宋" w:eastAsia="仿宋" w:cs="仿宋_GB2312"/>
          <w:sz w:val="32"/>
          <w:szCs w:val="32"/>
        </w:rPr>
      </w:pPr>
      <w:r>
        <w:rPr>
          <w:rStyle w:val="9"/>
          <w:rFonts w:hint="eastAsia" w:ascii="仿宋" w:hAnsi="仿宋" w:eastAsia="仿宋" w:cs="仿宋_GB2312"/>
          <w:sz w:val="32"/>
          <w:szCs w:val="32"/>
        </w:rPr>
        <w:t>按支出项目划分：基本支出88.97万元，项目支出0万元。</w:t>
      </w:r>
    </w:p>
    <w:p>
      <w:pPr>
        <w:ind w:firstLine="320" w:firstLineChars="100"/>
        <w:rPr>
          <w:rStyle w:val="9"/>
          <w:rFonts w:hint="eastAsia" w:ascii="仿宋" w:hAnsi="仿宋" w:eastAsia="仿宋" w:cs="仿宋_GB2312"/>
          <w:sz w:val="32"/>
          <w:szCs w:val="32"/>
        </w:rPr>
      </w:pPr>
      <w:r>
        <w:rPr>
          <w:rStyle w:val="9"/>
          <w:rFonts w:hint="eastAsia" w:ascii="仿宋" w:hAnsi="仿宋" w:eastAsia="仿宋" w:cs="仿宋_GB2312"/>
          <w:sz w:val="32"/>
          <w:szCs w:val="32"/>
        </w:rPr>
        <w:t>按支出功能科目划分：</w:t>
      </w:r>
      <w:r>
        <w:rPr>
          <w:rStyle w:val="9"/>
          <w:rFonts w:ascii="仿宋" w:hAnsi="仿宋" w:eastAsia="仿宋" w:cs="仿宋_GB2312"/>
          <w:sz w:val="32"/>
          <w:szCs w:val="32"/>
        </w:rPr>
        <w:t>社会保障和就业支出17.83万元，卫生健康支出9. 98 万元，城乡社区支出57</w:t>
      </w:r>
      <w:r>
        <w:rPr>
          <w:rStyle w:val="9"/>
          <w:rFonts w:hint="eastAsia" w:ascii="仿宋" w:hAnsi="仿宋" w:eastAsia="仿宋" w:cs="仿宋_GB2312"/>
          <w:sz w:val="32"/>
          <w:szCs w:val="32"/>
        </w:rPr>
        <w:t>.</w:t>
      </w:r>
      <w:r>
        <w:rPr>
          <w:rStyle w:val="9"/>
          <w:rFonts w:ascii="仿宋" w:hAnsi="仿宋" w:eastAsia="仿宋" w:cs="仿宋_GB2312"/>
          <w:sz w:val="32"/>
          <w:szCs w:val="32"/>
        </w:rPr>
        <w:t>66 万元，住房保障支出3.50万元。</w:t>
      </w:r>
    </w:p>
    <w:p>
      <w:pPr>
        <w:ind w:firstLine="321" w:firstLineChars="100"/>
        <w:rPr>
          <w:rStyle w:val="9"/>
          <w:rFonts w:ascii="仿宋" w:hAnsi="仿宋" w:eastAsia="仿宋" w:cs="仿宋_GB2312"/>
          <w:sz w:val="32"/>
          <w:szCs w:val="32"/>
        </w:rPr>
      </w:pPr>
      <w:r>
        <w:rPr>
          <w:rStyle w:val="9"/>
          <w:rFonts w:hint="eastAsia" w:ascii="仿宋" w:hAnsi="仿宋" w:eastAsia="仿宋" w:cs="仿宋_GB2312"/>
          <w:b/>
          <w:sz w:val="32"/>
          <w:szCs w:val="32"/>
        </w:rPr>
        <w:t>(三)财政拨款支出情况</w:t>
      </w:r>
    </w:p>
    <w:p>
      <w:pPr>
        <w:ind w:firstLine="320" w:firstLineChars="100"/>
        <w:rPr>
          <w:rStyle w:val="9"/>
          <w:rFonts w:hint="eastAsia" w:ascii="仿宋" w:hAnsi="仿宋" w:eastAsia="仿宋" w:cs="仿宋_GB2312"/>
          <w:sz w:val="32"/>
          <w:szCs w:val="32"/>
        </w:rPr>
      </w:pPr>
      <w:r>
        <w:rPr>
          <w:rStyle w:val="9"/>
          <w:rFonts w:hint="eastAsia" w:ascii="仿宋" w:hAnsi="仿宋" w:eastAsia="仿宋" w:cs="仿宋_GB2312"/>
          <w:sz w:val="32"/>
          <w:szCs w:val="32"/>
        </w:rPr>
        <w:t>2021年</w:t>
      </w:r>
      <w:r>
        <w:rPr>
          <w:rFonts w:hint="eastAsia" w:ascii="仿宋" w:hAnsi="仿宋" w:eastAsia="仿宋" w:cs="仿宋_GB2312"/>
          <w:kern w:val="0"/>
          <w:sz w:val="32"/>
          <w:szCs w:val="32"/>
        </w:rPr>
        <w:t>赣州市建设工程招标投标办公室</w:t>
      </w:r>
      <w:r>
        <w:rPr>
          <w:rStyle w:val="9"/>
          <w:rFonts w:hint="eastAsia" w:ascii="仿宋" w:hAnsi="仿宋" w:eastAsia="仿宋" w:cs="仿宋_GB2312"/>
          <w:sz w:val="32"/>
          <w:szCs w:val="32"/>
        </w:rPr>
        <w:t>财政拨款支出预算总额为财政拨款支出预算总额88.97万元，其中：</w:t>
      </w:r>
      <w:r>
        <w:rPr>
          <w:rStyle w:val="9"/>
          <w:rFonts w:ascii="仿宋" w:hAnsi="仿宋" w:eastAsia="仿宋" w:cs="仿宋_GB2312"/>
          <w:sz w:val="32"/>
          <w:szCs w:val="32"/>
        </w:rPr>
        <w:t>社会保障和就业支出17.83万元，卫生健康支出9. 98 万元，城乡社区支出57</w:t>
      </w:r>
      <w:r>
        <w:rPr>
          <w:rStyle w:val="9"/>
          <w:rFonts w:hint="eastAsia" w:ascii="仿宋" w:hAnsi="仿宋" w:eastAsia="仿宋" w:cs="仿宋_GB2312"/>
          <w:sz w:val="32"/>
          <w:szCs w:val="32"/>
        </w:rPr>
        <w:t>.</w:t>
      </w:r>
      <w:r>
        <w:rPr>
          <w:rStyle w:val="9"/>
          <w:rFonts w:ascii="仿宋" w:hAnsi="仿宋" w:eastAsia="仿宋" w:cs="仿宋_GB2312"/>
          <w:sz w:val="32"/>
          <w:szCs w:val="32"/>
        </w:rPr>
        <w:t>66 万元，住房保障支出3.50万元。</w:t>
      </w:r>
    </w:p>
    <w:p>
      <w:pPr>
        <w:ind w:firstLine="320" w:firstLineChars="100"/>
        <w:rPr>
          <w:rStyle w:val="9"/>
          <w:rFonts w:ascii="仿宋" w:hAnsi="仿宋" w:eastAsia="仿宋" w:cs="仿宋_GB2312"/>
          <w:sz w:val="32"/>
          <w:szCs w:val="32"/>
        </w:rPr>
      </w:pPr>
      <w:r>
        <w:rPr>
          <w:rStyle w:val="9"/>
          <w:rFonts w:hint="eastAsia" w:ascii="仿宋" w:hAnsi="仿宋" w:eastAsia="仿宋" w:cs="仿宋_GB2312"/>
          <w:sz w:val="32"/>
          <w:szCs w:val="32"/>
        </w:rPr>
        <w:t xml:space="preserve"> (四)政府性基金情况</w:t>
      </w:r>
    </w:p>
    <w:p>
      <w:pPr>
        <w:ind w:firstLine="480" w:firstLineChars="150"/>
        <w:rPr>
          <w:rStyle w:val="9"/>
          <w:rFonts w:ascii="仿宋" w:hAnsi="仿宋" w:eastAsia="仿宋" w:cs="仿宋_GB2312"/>
          <w:sz w:val="32"/>
          <w:szCs w:val="32"/>
        </w:rPr>
      </w:pPr>
      <w:r>
        <w:rPr>
          <w:rStyle w:val="9"/>
          <w:rFonts w:hint="eastAsia" w:ascii="仿宋" w:hAnsi="仿宋" w:eastAsia="仿宋" w:cs="仿宋_GB2312"/>
          <w:sz w:val="32"/>
          <w:szCs w:val="32"/>
        </w:rPr>
        <w:t>无政府性基金预算拨款安排的支出</w:t>
      </w:r>
    </w:p>
    <w:p>
      <w:pPr>
        <w:ind w:firstLine="321" w:firstLineChars="100"/>
        <w:rPr>
          <w:rStyle w:val="9"/>
          <w:rFonts w:ascii="仿宋" w:hAnsi="仿宋" w:eastAsia="仿宋" w:cs="仿宋_GB2312"/>
          <w:b/>
          <w:sz w:val="32"/>
          <w:szCs w:val="32"/>
        </w:rPr>
      </w:pPr>
      <w:r>
        <w:rPr>
          <w:rStyle w:val="9"/>
          <w:rFonts w:hint="eastAsia" w:ascii="仿宋" w:hAnsi="仿宋" w:eastAsia="仿宋" w:cs="仿宋_GB2312"/>
          <w:b/>
          <w:sz w:val="32"/>
          <w:szCs w:val="32"/>
        </w:rPr>
        <w:t xml:space="preserve"> (五)机关运行经费等重要事项的说明</w:t>
      </w:r>
    </w:p>
    <w:p>
      <w:pPr>
        <w:widowControl/>
        <w:spacing w:line="580" w:lineRule="exact"/>
        <w:ind w:firstLine="636"/>
        <w:jc w:val="left"/>
        <w:rPr>
          <w:rFonts w:ascii="仿宋" w:hAnsi="仿宋" w:eastAsia="仿宋" w:cs="仿宋_GB2312"/>
          <w:sz w:val="32"/>
          <w:szCs w:val="32"/>
        </w:rPr>
      </w:pPr>
      <w:r>
        <w:rPr>
          <w:rStyle w:val="9"/>
          <w:rFonts w:hint="eastAsia" w:ascii="仿宋" w:hAnsi="仿宋" w:eastAsia="仿宋" w:cs="仿宋_GB2312"/>
          <w:sz w:val="32"/>
          <w:szCs w:val="32"/>
        </w:rPr>
        <w:t>2021年</w:t>
      </w:r>
      <w:r>
        <w:rPr>
          <w:rFonts w:hint="eastAsia" w:ascii="仿宋" w:hAnsi="仿宋" w:eastAsia="仿宋" w:cs="仿宋_GB2312"/>
          <w:sz w:val="32"/>
          <w:szCs w:val="32"/>
        </w:rPr>
        <w:t>部门机关运行费预算17.07万元，比2020年预算增加0.49万元，增长2.9%。</w:t>
      </w:r>
    </w:p>
    <w:p>
      <w:pPr>
        <w:widowControl/>
        <w:spacing w:line="580" w:lineRule="exact"/>
        <w:ind w:firstLine="636"/>
        <w:jc w:val="left"/>
        <w:rPr>
          <w:rFonts w:ascii="仿宋" w:hAnsi="仿宋" w:eastAsia="仿宋" w:cs="仿宋_GB2312"/>
          <w:sz w:val="32"/>
          <w:szCs w:val="32"/>
        </w:rPr>
      </w:pPr>
      <w:r>
        <w:rPr>
          <w:rFonts w:hint="eastAsia" w:ascii="仿宋" w:hAnsi="仿宋" w:eastAsia="仿宋" w:cs="仿宋_GB2312"/>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1" w:firstLineChars="100"/>
        <w:rPr>
          <w:rStyle w:val="9"/>
          <w:rFonts w:ascii="仿宋" w:hAnsi="仿宋" w:eastAsia="仿宋" w:cs="仿宋_GB2312"/>
          <w:b/>
          <w:sz w:val="32"/>
          <w:szCs w:val="32"/>
        </w:rPr>
      </w:pPr>
      <w:r>
        <w:rPr>
          <w:rStyle w:val="9"/>
          <w:rFonts w:hint="eastAsia" w:ascii="仿宋" w:hAnsi="仿宋" w:eastAsia="仿宋" w:cs="仿宋_GB2312"/>
          <w:b/>
          <w:sz w:val="32"/>
          <w:szCs w:val="32"/>
        </w:rPr>
        <w:t>(六)政府采购情况</w:t>
      </w:r>
    </w:p>
    <w:p>
      <w:pPr>
        <w:ind w:firstLine="640" w:firstLineChars="200"/>
        <w:rPr>
          <w:rStyle w:val="9"/>
          <w:rFonts w:ascii="仿宋" w:hAnsi="仿宋" w:eastAsia="仿宋" w:cs="仿宋_GB2312"/>
          <w:color w:val="FF0000"/>
          <w:sz w:val="32"/>
          <w:szCs w:val="32"/>
        </w:rPr>
      </w:pPr>
      <w:r>
        <w:rPr>
          <w:rFonts w:hint="eastAsia" w:ascii="仿宋" w:hAnsi="仿宋" w:eastAsia="仿宋" w:cs="仿宋_GB2312"/>
          <w:sz w:val="32"/>
          <w:szCs w:val="32"/>
        </w:rPr>
        <w:t>2021年</w:t>
      </w:r>
      <w:r>
        <w:rPr>
          <w:rFonts w:hint="eastAsia" w:ascii="仿宋" w:hAnsi="仿宋" w:eastAsia="仿宋" w:cs="仿宋_GB2312"/>
          <w:kern w:val="0"/>
          <w:sz w:val="32"/>
          <w:szCs w:val="32"/>
        </w:rPr>
        <w:t>赣州市建设工程招标投标办公室</w:t>
      </w:r>
      <w:r>
        <w:rPr>
          <w:rFonts w:hint="eastAsia" w:ascii="仿宋" w:hAnsi="仿宋" w:eastAsia="仿宋" w:cs="仿宋_GB2312"/>
          <w:sz w:val="32"/>
          <w:szCs w:val="32"/>
        </w:rPr>
        <w:t>政府采购总额</w:t>
      </w:r>
      <w:r>
        <w:rPr>
          <w:rFonts w:hint="eastAsia" w:ascii="仿宋" w:hAnsi="仿宋" w:eastAsia="仿宋" w:cs="仿宋_GB2312"/>
          <w:kern w:val="0"/>
          <w:sz w:val="32"/>
          <w:szCs w:val="32"/>
        </w:rPr>
        <w:t>3.1</w:t>
      </w:r>
      <w:r>
        <w:rPr>
          <w:rFonts w:hint="eastAsia" w:ascii="仿宋" w:hAnsi="仿宋" w:eastAsia="仿宋" w:cs="仿宋_GB2312"/>
          <w:sz w:val="32"/>
          <w:szCs w:val="32"/>
        </w:rPr>
        <w:t>万元,其中: 政府采购货物预算</w:t>
      </w:r>
      <w:r>
        <w:rPr>
          <w:rFonts w:hint="eastAsia" w:ascii="仿宋" w:hAnsi="仿宋" w:eastAsia="仿宋" w:cs="仿宋_GB2312"/>
          <w:kern w:val="0"/>
          <w:sz w:val="32"/>
          <w:szCs w:val="32"/>
        </w:rPr>
        <w:t>3.1</w:t>
      </w:r>
      <w:r>
        <w:rPr>
          <w:rFonts w:hint="eastAsia" w:ascii="仿宋" w:hAnsi="仿宋" w:eastAsia="仿宋" w:cs="仿宋_GB2312"/>
          <w:sz w:val="32"/>
          <w:szCs w:val="32"/>
        </w:rPr>
        <w:t>万元, 政府采购工程预算</w:t>
      </w:r>
      <w:r>
        <w:rPr>
          <w:rFonts w:hint="eastAsia" w:ascii="仿宋" w:hAnsi="仿宋" w:eastAsia="仿宋" w:cs="仿宋_GB2312"/>
          <w:kern w:val="0"/>
          <w:sz w:val="32"/>
          <w:szCs w:val="32"/>
        </w:rPr>
        <w:t>0</w:t>
      </w:r>
      <w:r>
        <w:rPr>
          <w:rFonts w:hint="eastAsia" w:ascii="仿宋" w:hAnsi="仿宋" w:eastAsia="仿宋" w:cs="仿宋_GB2312"/>
          <w:sz w:val="32"/>
          <w:szCs w:val="32"/>
        </w:rPr>
        <w:t>万元, 政府采购服务预算</w:t>
      </w:r>
      <w:r>
        <w:rPr>
          <w:rFonts w:hint="eastAsia" w:ascii="仿宋" w:hAnsi="仿宋" w:eastAsia="仿宋" w:cs="仿宋_GB2312"/>
          <w:kern w:val="0"/>
          <w:sz w:val="32"/>
          <w:szCs w:val="32"/>
        </w:rPr>
        <w:t>0</w:t>
      </w:r>
      <w:r>
        <w:rPr>
          <w:rFonts w:hint="eastAsia" w:ascii="仿宋" w:hAnsi="仿宋" w:eastAsia="仿宋" w:cs="仿宋_GB2312"/>
          <w:sz w:val="32"/>
          <w:szCs w:val="32"/>
        </w:rPr>
        <w:t>万元。</w:t>
      </w:r>
    </w:p>
    <w:p>
      <w:pPr>
        <w:ind w:firstLine="321" w:firstLineChars="100"/>
        <w:rPr>
          <w:rStyle w:val="9"/>
          <w:rFonts w:ascii="仿宋" w:hAnsi="仿宋" w:eastAsia="仿宋" w:cs="仿宋_GB2312"/>
          <w:b/>
          <w:sz w:val="32"/>
          <w:szCs w:val="32"/>
        </w:rPr>
      </w:pPr>
      <w:r>
        <w:rPr>
          <w:rStyle w:val="9"/>
          <w:rFonts w:hint="eastAsia" w:ascii="仿宋" w:hAnsi="仿宋" w:eastAsia="仿宋" w:cs="仿宋_GB2312"/>
          <w:b/>
          <w:sz w:val="32"/>
          <w:szCs w:val="32"/>
        </w:rPr>
        <w:t>(七)国有资产占有使用情况</w:t>
      </w:r>
    </w:p>
    <w:p>
      <w:pPr>
        <w:ind w:firstLine="642"/>
        <w:rPr>
          <w:rFonts w:ascii="仿宋" w:hAnsi="仿宋" w:eastAsia="仿宋" w:cs="仿宋_GB2312"/>
          <w:sz w:val="32"/>
          <w:szCs w:val="32"/>
        </w:rPr>
      </w:pPr>
      <w:r>
        <w:rPr>
          <w:rFonts w:hint="eastAsia" w:ascii="仿宋" w:hAnsi="仿宋" w:eastAsia="仿宋" w:cs="仿宋_GB2312"/>
          <w:sz w:val="32"/>
          <w:szCs w:val="32"/>
        </w:rPr>
        <w:t xml:space="preserve">截至2020年12月31日, </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${page400644146.ds532982397_REP_JX_BAS_AGENCY_INFO_ZYFRS_S_CLSYS}</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部门共有车辆</w:t>
      </w:r>
      <w:r>
        <w:rPr>
          <w:rFonts w:hint="eastAsia" w:ascii="仿宋" w:hAnsi="仿宋" w:eastAsia="仿宋" w:cs="仿宋_GB2312"/>
          <w:kern w:val="0"/>
          <w:sz w:val="32"/>
          <w:szCs w:val="32"/>
        </w:rPr>
        <w:t>0</w:t>
      </w:r>
      <w:r>
        <w:rPr>
          <w:rFonts w:hint="eastAsia" w:ascii="仿宋" w:hAnsi="仿宋" w:eastAsia="仿宋" w:cs="仿宋_GB2312"/>
          <w:sz w:val="32"/>
          <w:szCs w:val="32"/>
        </w:rPr>
        <w:t>辆,其中：一般公务用车实有数</w:t>
      </w:r>
      <w:r>
        <w:rPr>
          <w:rFonts w:hint="eastAsia" w:ascii="仿宋" w:hAnsi="仿宋" w:eastAsia="仿宋" w:cs="仿宋_GB2312"/>
          <w:kern w:val="0"/>
          <w:sz w:val="32"/>
          <w:szCs w:val="32"/>
        </w:rPr>
        <w:t>0</w:t>
      </w:r>
      <w:r>
        <w:rPr>
          <w:rFonts w:hint="eastAsia" w:ascii="仿宋" w:hAnsi="仿宋" w:eastAsia="仿宋" w:cs="仿宋_GB2312"/>
          <w:sz w:val="32"/>
          <w:szCs w:val="32"/>
        </w:rPr>
        <w:t>辆,执法执勤用车实有数</w:t>
      </w:r>
      <w:r>
        <w:rPr>
          <w:rFonts w:hint="eastAsia" w:ascii="仿宋" w:hAnsi="仿宋" w:eastAsia="仿宋" w:cs="仿宋_GB2312"/>
          <w:kern w:val="0"/>
          <w:sz w:val="32"/>
          <w:szCs w:val="32"/>
        </w:rPr>
        <w:t>0</w:t>
      </w:r>
      <w:r>
        <w:rPr>
          <w:rFonts w:hint="eastAsia" w:ascii="仿宋" w:hAnsi="仿宋" w:eastAsia="仿宋" w:cs="仿宋_GB2312"/>
          <w:sz w:val="32"/>
          <w:szCs w:val="32"/>
        </w:rPr>
        <w:t>辆。</w:t>
      </w:r>
      <w:r>
        <w:rPr>
          <w:rFonts w:hint="eastAsia" w:ascii="仿宋" w:hAnsi="仿宋" w:eastAsia="仿宋" w:cs="仿宋_GB2312"/>
          <w:sz w:val="32"/>
          <w:szCs w:val="32"/>
        </w:rPr>
        <w:fldChar w:fldCharType="end"/>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2021年部门预算安排购置车辆0辆，安排购置单位价值200万元以上大型设备(单位：如台、个、辆等)0。</w:t>
      </w:r>
    </w:p>
    <w:p>
      <w:pPr>
        <w:ind w:firstLine="643" w:firstLineChars="200"/>
        <w:rPr>
          <w:rFonts w:ascii="仿宋" w:hAnsi="仿宋" w:eastAsia="仿宋"/>
          <w:sz w:val="32"/>
          <w:szCs w:val="32"/>
        </w:rPr>
      </w:pPr>
      <w:r>
        <w:rPr>
          <w:rStyle w:val="9"/>
          <w:rFonts w:hint="eastAsia" w:ascii="仿宋" w:hAnsi="仿宋" w:eastAsia="仿宋" w:cs="仿宋_GB2312"/>
          <w:b/>
          <w:sz w:val="32"/>
          <w:szCs w:val="32"/>
        </w:rPr>
        <w:t>（</w:t>
      </w:r>
      <w:r>
        <w:rPr>
          <w:rFonts w:hint="eastAsia" w:ascii="仿宋" w:hAnsi="仿宋" w:eastAsia="仿宋"/>
          <w:sz w:val="32"/>
          <w:szCs w:val="32"/>
        </w:rPr>
        <w:t>八）项目情况说明（部门本级）</w:t>
      </w:r>
    </w:p>
    <w:p>
      <w:pPr>
        <w:ind w:firstLine="640" w:firstLineChars="200"/>
        <w:rPr>
          <w:rFonts w:ascii="仿宋" w:hAnsi="仿宋" w:eastAsia="仿宋"/>
          <w:sz w:val="32"/>
          <w:szCs w:val="32"/>
        </w:rPr>
      </w:pPr>
      <w:r>
        <w:rPr>
          <w:rFonts w:ascii="仿宋" w:hAnsi="仿宋" w:eastAsia="仿宋"/>
          <w:sz w:val="32"/>
          <w:szCs w:val="32"/>
        </w:rPr>
        <w:t>无项目支出</w:t>
      </w:r>
    </w:p>
    <w:p>
      <w:pPr>
        <w:widowControl/>
        <w:spacing w:line="580" w:lineRule="exact"/>
        <w:ind w:firstLine="643" w:firstLineChars="200"/>
        <w:jc w:val="left"/>
        <w:rPr>
          <w:rFonts w:ascii="仿宋" w:hAnsi="仿宋" w:eastAsia="仿宋" w:cs="仿宋_GB2312"/>
          <w:b/>
          <w:sz w:val="32"/>
          <w:szCs w:val="32"/>
        </w:rPr>
      </w:pPr>
      <w:r>
        <w:rPr>
          <w:rFonts w:hint="eastAsia" w:ascii="仿宋" w:hAnsi="仿宋" w:eastAsia="仿宋" w:cs="仿宋_GB2312"/>
          <w:b/>
          <w:kern w:val="0"/>
          <w:sz w:val="32"/>
          <w:szCs w:val="32"/>
        </w:rPr>
        <w:t>二、</w:t>
      </w:r>
      <w:r>
        <w:rPr>
          <w:rFonts w:hint="eastAsia" w:ascii="仿宋" w:hAnsi="仿宋" w:eastAsia="仿宋" w:cs="仿宋_GB2312"/>
          <w:b/>
          <w:sz w:val="32"/>
          <w:szCs w:val="32"/>
        </w:rPr>
        <w:t>2021年“三公”经费预算情况说明</w:t>
      </w:r>
    </w:p>
    <w:p>
      <w:pPr>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2021年</w:t>
      </w:r>
      <w:r>
        <w:rPr>
          <w:rFonts w:hint="eastAsia" w:ascii="仿宋" w:hAnsi="仿宋" w:eastAsia="仿宋" w:cs="仿宋_GB2312"/>
          <w:kern w:val="0"/>
          <w:sz w:val="32"/>
          <w:szCs w:val="32"/>
        </w:rPr>
        <w:t>赣州市建设工程招标投标办公室</w:t>
      </w:r>
      <w:r>
        <w:rPr>
          <w:rFonts w:hint="eastAsia" w:ascii="仿宋" w:hAnsi="仿宋" w:eastAsia="仿宋" w:cs="仿宋_GB2312"/>
          <w:bCs/>
          <w:sz w:val="32"/>
          <w:szCs w:val="32"/>
        </w:rPr>
        <w:t>"三公"经费一般公共预算安排1.26万元，其中：</w:t>
      </w:r>
    </w:p>
    <w:p>
      <w:pPr>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因公出国</w:t>
      </w:r>
      <w:r>
        <w:rPr>
          <w:rFonts w:hint="eastAsia" w:ascii="仿宋" w:hAnsi="仿宋" w:eastAsia="仿宋" w:cs="仿宋_GB2312"/>
          <w:kern w:val="0"/>
          <w:sz w:val="32"/>
          <w:szCs w:val="32"/>
        </w:rPr>
        <w:t>0</w:t>
      </w:r>
      <w:r>
        <w:rPr>
          <w:rFonts w:hint="eastAsia" w:ascii="仿宋" w:hAnsi="仿宋" w:eastAsia="仿宋" w:cs="仿宋_GB2312"/>
          <w:bCs/>
          <w:sz w:val="32"/>
          <w:szCs w:val="32"/>
        </w:rPr>
        <w:t>万元,比上年增（减）0万元，主要原因是：0。</w:t>
      </w:r>
    </w:p>
    <w:p>
      <w:pPr>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公务接待</w:t>
      </w:r>
      <w:r>
        <w:rPr>
          <w:rFonts w:hint="eastAsia" w:ascii="仿宋" w:hAnsi="仿宋" w:eastAsia="仿宋" w:cs="仿宋_GB2312"/>
          <w:kern w:val="0"/>
          <w:sz w:val="32"/>
          <w:szCs w:val="32"/>
        </w:rPr>
        <w:t>1.26</w:t>
      </w:r>
      <w:r>
        <w:rPr>
          <w:rFonts w:hint="eastAsia" w:ascii="仿宋" w:hAnsi="仿宋" w:eastAsia="仿宋" w:cs="仿宋_GB2312"/>
          <w:bCs/>
          <w:sz w:val="32"/>
          <w:szCs w:val="32"/>
        </w:rPr>
        <w:t>万元,比上年减0.09万元，主要原因是：单位本着厉行节约压缩开支的理念，每年递减“三公”经费的原则。</w:t>
      </w:r>
    </w:p>
    <w:p>
      <w:pPr>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公务用车运行</w:t>
      </w:r>
      <w:r>
        <w:rPr>
          <w:rFonts w:hint="eastAsia" w:ascii="仿宋" w:hAnsi="仿宋" w:eastAsia="仿宋" w:cs="仿宋_GB2312"/>
          <w:kern w:val="0"/>
          <w:sz w:val="32"/>
          <w:szCs w:val="32"/>
        </w:rPr>
        <w:t>0</w:t>
      </w:r>
      <w:r>
        <w:rPr>
          <w:rFonts w:hint="eastAsia" w:ascii="仿宋" w:hAnsi="仿宋" w:eastAsia="仿宋" w:cs="仿宋_GB2312"/>
          <w:bCs/>
          <w:sz w:val="32"/>
          <w:szCs w:val="32"/>
        </w:rPr>
        <w:t>万元,比上年增（减）0万元，主要原因是：0。</w:t>
      </w:r>
    </w:p>
    <w:p>
      <w:pPr>
        <w:ind w:firstLine="640" w:firstLineChars="200"/>
        <w:jc w:val="left"/>
        <w:rPr>
          <w:rFonts w:ascii="仿宋" w:hAnsi="仿宋" w:eastAsia="仿宋" w:cs="仿宋_GB2312"/>
          <w:bCs/>
          <w:sz w:val="32"/>
          <w:szCs w:val="32"/>
        </w:rPr>
      </w:pPr>
      <w:r>
        <w:rPr>
          <w:rFonts w:hint="eastAsia" w:ascii="仿宋" w:hAnsi="仿宋" w:eastAsia="仿宋" w:cs="仿宋_GB2312"/>
          <w:bCs/>
          <w:sz w:val="32"/>
          <w:szCs w:val="32"/>
        </w:rPr>
        <w:t>公务用车购置</w:t>
      </w:r>
      <w:r>
        <w:rPr>
          <w:rFonts w:hint="eastAsia" w:ascii="仿宋" w:hAnsi="仿宋" w:eastAsia="仿宋" w:cs="仿宋_GB2312"/>
          <w:kern w:val="0"/>
          <w:sz w:val="32"/>
          <w:szCs w:val="32"/>
        </w:rPr>
        <w:t>0</w:t>
      </w:r>
      <w:r>
        <w:rPr>
          <w:rFonts w:hint="eastAsia" w:ascii="仿宋" w:hAnsi="仿宋" w:eastAsia="仿宋" w:cs="仿宋_GB2312"/>
          <w:bCs/>
          <w:sz w:val="32"/>
          <w:szCs w:val="32"/>
        </w:rPr>
        <w:t>万元,比上年增（减）0万元，主要原因是：0。</w:t>
      </w:r>
    </w:p>
    <w:p>
      <w:pPr>
        <w:widowControl/>
        <w:shd w:val="clear" w:color="auto" w:fill="FFFFFF"/>
        <w:spacing w:line="640" w:lineRule="atLeast"/>
        <w:ind w:firstLine="640"/>
        <w:jc w:val="center"/>
        <w:rPr>
          <w:rFonts w:ascii="仿宋" w:hAnsi="仿宋" w:eastAsia="仿宋" w:cs="Arial"/>
          <w:color w:val="333333"/>
          <w:sz w:val="32"/>
          <w:szCs w:val="32"/>
        </w:rPr>
      </w:pPr>
      <w:r>
        <w:rPr>
          <w:rFonts w:hint="eastAsia" w:ascii="仿宋" w:hAnsi="仿宋" w:eastAsia="仿宋"/>
          <w:b/>
          <w:sz w:val="32"/>
          <w:szCs w:val="32"/>
        </w:rPr>
        <w:t>第四部分   名词解释</w:t>
      </w:r>
    </w:p>
    <w:p>
      <w:pPr>
        <w:widowControl/>
        <w:numPr>
          <w:ilvl w:val="0"/>
          <w:numId w:val="1"/>
        </w:numPr>
        <w:spacing w:line="600" w:lineRule="exact"/>
        <w:ind w:firstLine="64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财政拨款：指市级财政当年拨付的资金。</w:t>
      </w:r>
    </w:p>
    <w:p>
      <w:pPr>
        <w:widowControl/>
        <w:numPr>
          <w:ilvl w:val="0"/>
          <w:numId w:val="1"/>
        </w:numPr>
        <w:spacing w:line="600" w:lineRule="exact"/>
        <w:ind w:firstLine="64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 w:hAnsi="仿宋" w:eastAsia="仿宋"/>
          <w:color w:val="000000"/>
          <w:sz w:val="32"/>
          <w:szCs w:val="32"/>
        </w:rPr>
      </w:pPr>
      <w:r>
        <w:rPr>
          <w:rFonts w:hint="eastAsia" w:ascii="仿宋" w:hAnsi="仿宋" w:eastAsia="仿宋"/>
          <w:sz w:val="32"/>
          <w:szCs w:val="32"/>
        </w:rPr>
        <w:t>（三）</w:t>
      </w:r>
      <w:r>
        <w:rPr>
          <w:rFonts w:hint="eastAsia" w:ascii="仿宋" w:hAnsi="仿宋" w:eastAsia="仿宋"/>
          <w:color w:val="000000"/>
          <w:sz w:val="32"/>
          <w:szCs w:val="32"/>
        </w:rPr>
        <w:t>事业收入：指事业单位开展专业业务活动及辅助活动取得的收入。</w:t>
      </w:r>
    </w:p>
    <w:p>
      <w:pPr>
        <w:widowControl/>
        <w:spacing w:line="600" w:lineRule="exact"/>
        <w:ind w:firstLine="636"/>
        <w:jc w:val="left"/>
        <w:rPr>
          <w:rFonts w:ascii="仿宋" w:hAnsi="仿宋" w:eastAsia="仿宋"/>
          <w:color w:val="000000"/>
          <w:sz w:val="32"/>
          <w:szCs w:val="32"/>
        </w:rPr>
      </w:pPr>
      <w:r>
        <w:rPr>
          <w:rFonts w:hint="eastAsia" w:ascii="仿宋" w:hAnsi="仿宋" w:eastAsia="仿宋"/>
          <w:sz w:val="32"/>
          <w:szCs w:val="32"/>
        </w:rPr>
        <w:t>（四）</w:t>
      </w:r>
      <w:r>
        <w:rPr>
          <w:rFonts w:hint="eastAsia" w:ascii="仿宋" w:hAnsi="仿宋" w:eastAsia="仿宋"/>
          <w:color w:val="000000"/>
          <w:sz w:val="32"/>
          <w:szCs w:val="32"/>
        </w:rPr>
        <w:t>事业单位经营收入：指事业单位在专业业务活动及辅助活动之外开展非独立核算经营活动取得的收入。</w:t>
      </w:r>
    </w:p>
    <w:p>
      <w:pPr>
        <w:widowControl/>
        <w:spacing w:line="580" w:lineRule="exact"/>
        <w:ind w:firstLine="636"/>
        <w:jc w:val="left"/>
        <w:rPr>
          <w:rFonts w:ascii="仿宋" w:hAnsi="仿宋" w:eastAsia="仿宋"/>
          <w:sz w:val="32"/>
          <w:szCs w:val="32"/>
        </w:rPr>
      </w:pPr>
      <w:r>
        <w:rPr>
          <w:rFonts w:hint="eastAsia" w:ascii="仿宋" w:hAnsi="仿宋" w:eastAsia="仿宋"/>
          <w:sz w:val="32"/>
          <w:szCs w:val="32"/>
        </w:rPr>
        <w:t>（五）</w:t>
      </w:r>
      <w:r>
        <w:rPr>
          <w:rFonts w:hint="eastAsia" w:ascii="仿宋" w:hAnsi="仿宋" w:eastAsia="仿宋"/>
          <w:color w:val="000000"/>
          <w:sz w:val="32"/>
          <w:szCs w:val="32"/>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 w:hAnsi="仿宋" w:eastAsia="仿宋"/>
          <w:color w:val="000000"/>
          <w:sz w:val="32"/>
          <w:szCs w:val="32"/>
        </w:rPr>
      </w:pPr>
      <w:r>
        <w:rPr>
          <w:rFonts w:hint="eastAsia" w:ascii="仿宋" w:hAnsi="仿宋" w:eastAsia="仿宋"/>
          <w:sz w:val="32"/>
          <w:szCs w:val="32"/>
        </w:rPr>
        <w:t>（六）</w:t>
      </w:r>
      <w:r>
        <w:rPr>
          <w:rFonts w:hint="eastAsia" w:ascii="仿宋" w:hAnsi="仿宋" w:eastAsia="仿宋"/>
          <w:color w:val="000000"/>
          <w:sz w:val="32"/>
          <w:szCs w:val="32"/>
        </w:rPr>
        <w:t>上级补助收入：反映事业单位从主管部门和上级单位取得的非财政补助收入。</w:t>
      </w:r>
    </w:p>
    <w:p>
      <w:pPr>
        <w:widowControl/>
        <w:spacing w:line="600" w:lineRule="exact"/>
        <w:ind w:firstLine="636"/>
        <w:jc w:val="left"/>
        <w:rPr>
          <w:rFonts w:ascii="仿宋" w:hAnsi="仿宋" w:eastAsia="仿宋"/>
          <w:color w:val="000000"/>
          <w:sz w:val="32"/>
          <w:szCs w:val="32"/>
        </w:rPr>
      </w:pPr>
      <w:r>
        <w:rPr>
          <w:rFonts w:hint="eastAsia" w:ascii="仿宋" w:hAnsi="仿宋" w:eastAsia="仿宋"/>
          <w:sz w:val="32"/>
          <w:szCs w:val="32"/>
        </w:rPr>
        <w:t>（七）</w:t>
      </w:r>
      <w:r>
        <w:rPr>
          <w:rFonts w:hint="eastAsia" w:ascii="仿宋" w:hAnsi="仿宋" w:eastAsia="仿宋"/>
          <w:color w:val="000000"/>
          <w:sz w:val="32"/>
          <w:szCs w:val="32"/>
        </w:rPr>
        <w:t>其他收入：指除财政拨款、事业收入、事业单位经营收入等以外的各项收入。</w:t>
      </w:r>
    </w:p>
    <w:p>
      <w:pPr>
        <w:ind w:firstLine="640" w:firstLineChars="200"/>
        <w:rPr>
          <w:rFonts w:ascii="仿宋" w:hAnsi="仿宋" w:eastAsia="仿宋"/>
          <w:color w:val="000000"/>
          <w:sz w:val="32"/>
          <w:szCs w:val="32"/>
        </w:rPr>
      </w:pPr>
      <w:r>
        <w:rPr>
          <w:rFonts w:hint="eastAsia" w:ascii="仿宋" w:hAnsi="仿宋" w:eastAsia="仿宋"/>
          <w:sz w:val="32"/>
          <w:szCs w:val="32"/>
        </w:rPr>
        <w:t>（八）</w:t>
      </w:r>
      <w:r>
        <w:rPr>
          <w:rFonts w:hint="eastAsia" w:ascii="仿宋" w:hAnsi="仿宋" w:eastAsia="仿宋"/>
          <w:color w:val="000000"/>
          <w:sz w:val="32"/>
          <w:szCs w:val="32"/>
        </w:rPr>
        <w:t>使用非财政拨款结余：填列历年滚存的非限定用途的非统计财政拨款结余弥补2021年收支差额的数额。</w:t>
      </w:r>
    </w:p>
    <w:p>
      <w:pPr>
        <w:spacing w:line="600" w:lineRule="exact"/>
        <w:ind w:firstLine="640" w:firstLineChars="200"/>
        <w:rPr>
          <w:rFonts w:ascii="仿宋" w:hAnsi="仿宋" w:eastAsia="仿宋"/>
          <w:color w:val="000000"/>
          <w:sz w:val="32"/>
          <w:szCs w:val="32"/>
        </w:rPr>
      </w:pPr>
      <w:r>
        <w:rPr>
          <w:rFonts w:hint="eastAsia" w:ascii="仿宋" w:hAnsi="仿宋" w:eastAsia="仿宋"/>
          <w:sz w:val="32"/>
          <w:szCs w:val="32"/>
        </w:rPr>
        <w:t>（九）</w:t>
      </w:r>
      <w:r>
        <w:rPr>
          <w:rFonts w:hint="eastAsia" w:ascii="仿宋" w:hAnsi="仿宋" w:eastAsia="仿宋"/>
          <w:color w:val="000000"/>
          <w:sz w:val="32"/>
          <w:szCs w:val="32"/>
        </w:rPr>
        <w:t>上年结转和结余：填列2021年全部结转和结余的资金数，包括当年结转结余资金和历年滚存结转结余资金。</w:t>
      </w:r>
    </w:p>
    <w:p>
      <w:pPr>
        <w:rPr>
          <w:rFonts w:ascii="仿宋" w:hAnsi="仿宋" w:eastAsia="仿宋"/>
          <w:sz w:val="32"/>
          <w:szCs w:val="32"/>
        </w:rPr>
      </w:pPr>
      <w:bookmarkStart w:id="1" w:name="_GoBack"/>
      <w:bookmarkEnd w:id="1"/>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cs="宋体"/>
          <w:color w:val="2F2F31"/>
          <w:w w:val="95"/>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86"/>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0D33017"/>
    <w:rsid w:val="00080E91"/>
    <w:rsid w:val="000E2360"/>
    <w:rsid w:val="000F42A1"/>
    <w:rsid w:val="001101FE"/>
    <w:rsid w:val="001600AA"/>
    <w:rsid w:val="001D217C"/>
    <w:rsid w:val="00390663"/>
    <w:rsid w:val="004E2B77"/>
    <w:rsid w:val="004E3F51"/>
    <w:rsid w:val="0065060F"/>
    <w:rsid w:val="007A5823"/>
    <w:rsid w:val="009E06C1"/>
    <w:rsid w:val="009F2A9A"/>
    <w:rsid w:val="00A43A74"/>
    <w:rsid w:val="00BB4C83"/>
    <w:rsid w:val="00C4568C"/>
    <w:rsid w:val="00D13E3B"/>
    <w:rsid w:val="00DB5BBA"/>
    <w:rsid w:val="00EB7E26"/>
    <w:rsid w:val="00F46340"/>
    <w:rsid w:val="00FC770F"/>
    <w:rsid w:val="0D753817"/>
    <w:rsid w:val="1D363AEE"/>
    <w:rsid w:val="2E4A0DA0"/>
    <w:rsid w:val="30C17CEE"/>
    <w:rsid w:val="35766FBA"/>
    <w:rsid w:val="40D33017"/>
    <w:rsid w:val="56CC326D"/>
    <w:rsid w:val="6A1B137A"/>
    <w:rsid w:val="79A63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qFormat/>
    <w:uiPriority w:val="1"/>
    <w:pPr>
      <w:autoSpaceDE w:val="0"/>
      <w:autoSpaceDN w:val="0"/>
      <w:jc w:val="left"/>
    </w:pPr>
    <w:rPr>
      <w:rFonts w:ascii="宋体" w:hAnsi="宋体" w:eastAsia="宋体" w:cs="宋体"/>
      <w:kern w:val="0"/>
      <w:sz w:val="32"/>
      <w:szCs w:val="32"/>
      <w:lang w:eastAsia="en-US"/>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p0"/>
    <w:basedOn w:val="1"/>
    <w:qFormat/>
    <w:uiPriority w:val="0"/>
    <w:pPr>
      <w:widowControl/>
    </w:pPr>
    <w:rPr>
      <w:rFonts w:ascii="Times New Roman" w:hAnsi="Times New Roman" w:eastAsia="宋体" w:cs="Times New Roman"/>
      <w:kern w:val="0"/>
      <w:szCs w:val="21"/>
    </w:rPr>
  </w:style>
  <w:style w:type="character" w:customStyle="1" w:styleId="9">
    <w:name w:val="row_tree_level_4"/>
    <w:basedOn w:val="7"/>
    <w:qFormat/>
    <w:uiPriority w:val="0"/>
  </w:style>
  <w:style w:type="character" w:customStyle="1" w:styleId="10">
    <w:name w:val="页脚 Char"/>
    <w:basedOn w:val="7"/>
    <w:link w:val="4"/>
    <w:uiPriority w:val="0"/>
    <w:rPr>
      <w:kern w:val="2"/>
      <w:sz w:val="18"/>
      <w:szCs w:val="18"/>
    </w:rPr>
  </w:style>
  <w:style w:type="character" w:customStyle="1" w:styleId="11">
    <w:name w:val="正文文本 Char"/>
    <w:basedOn w:val="7"/>
    <w:link w:val="3"/>
    <w:uiPriority w:val="1"/>
    <w:rPr>
      <w:rFonts w:ascii="宋体" w:hAnsi="宋体" w:eastAsia="宋体" w:cs="宋体"/>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401</Words>
  <Characters>2288</Characters>
  <Lines>19</Lines>
  <Paragraphs>5</Paragraphs>
  <TotalTime>470</TotalTime>
  <ScaleCrop>false</ScaleCrop>
  <LinksUpToDate>false</LinksUpToDate>
  <CharactersWithSpaces>2684</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2022-09-01T02:30:00Z</dcterms:created>
  <dc:creator>孔福泉</dc:creator>
  <cp:lastModifiedBy>TITA</cp:lastModifiedBy>
  <dcterms:modified xsi:type="dcterms:W3CDTF">2022-09-03T14:45:44Z</dcterms:modified>
  <dc:title>关于预算公开的填报口径说明</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AD8DC22488474B82A653E09AEFB8E82A</vt:lpwstr>
  </property>
</Properties>
</file>