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bCs/>
          <w:sz w:val="32"/>
          <w:szCs w:val="32"/>
        </w:rPr>
      </w:pPr>
    </w:p>
    <w:p>
      <w:pPr>
        <w:pStyle w:val="2"/>
        <w:spacing w:line="540" w:lineRule="exact"/>
        <w:jc w:val="center"/>
        <w:rPr>
          <w:rFonts w:ascii="方正小标宋_GBK" w:hAnsi="方正小标宋_GBK" w:eastAsia="方正小标宋_GBK" w:cs="方正小标宋_GBK"/>
          <w:b w:val="0"/>
          <w:bCs w:val="0"/>
        </w:rPr>
      </w:pPr>
      <w:bookmarkStart w:id="0" w:name="OLE_LINK1"/>
      <w:r>
        <w:rPr>
          <w:rFonts w:hint="eastAsia" w:ascii="方正小标宋_GBK" w:hAnsi="方正小标宋_GBK" w:eastAsia="方正小标宋_GBK" w:cs="方正小标宋_GBK"/>
          <w:b w:val="0"/>
          <w:bCs w:val="0"/>
        </w:rPr>
        <w:t>赣州市建设市场督察站2021年部门预算</w:t>
      </w:r>
    </w:p>
    <w:bookmarkEnd w:id="0"/>
    <w:p>
      <w:pPr>
        <w:spacing w:line="540" w:lineRule="exact"/>
        <w:jc w:val="center"/>
        <w:rPr>
          <w:rFonts w:ascii="黑体" w:hAnsi="黑体" w:eastAsia="黑体" w:cs="黑体"/>
          <w:sz w:val="44"/>
          <w:szCs w:val="44"/>
        </w:rPr>
      </w:pPr>
      <w:r>
        <w:rPr>
          <w:rFonts w:hint="eastAsia" w:ascii="黑体" w:hAnsi="黑体" w:eastAsia="黑体" w:cs="黑体"/>
          <w:sz w:val="44"/>
          <w:szCs w:val="44"/>
        </w:rPr>
        <w:t>目  录</w:t>
      </w:r>
    </w:p>
    <w:p>
      <w:pPr>
        <w:spacing w:line="540" w:lineRule="exact"/>
        <w:rPr>
          <w:sz w:val="44"/>
          <w:szCs w:val="44"/>
        </w:rPr>
      </w:pPr>
    </w:p>
    <w:p>
      <w:pPr>
        <w:pStyle w:val="6"/>
        <w:tabs>
          <w:tab w:val="right" w:pos="8306"/>
        </w:tabs>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赣州市建设市场督察站概况</w:t>
      </w:r>
      <w:r>
        <w:rPr>
          <w:rFonts w:ascii="仿宋_GB2312" w:eastAsia="仿宋_GB2312"/>
          <w:b/>
          <w:bCs/>
          <w:color w:val="000000"/>
          <w:sz w:val="32"/>
          <w:szCs w:val="32"/>
        </w:rPr>
        <w:tab/>
      </w:r>
    </w:p>
    <w:p>
      <w:pPr>
        <w:pStyle w:val="6"/>
        <w:spacing w:line="560" w:lineRule="atLeast"/>
        <w:ind w:firstLine="1120" w:firstLineChars="35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 xml:space="preserve"> </w:t>
      </w:r>
      <w:r>
        <w:rPr>
          <w:rFonts w:ascii="Adobe 仿宋 Std R" w:hAnsi="Adobe 仿宋 Std R" w:eastAsia="Adobe 仿宋 Std R" w:cs="黑体"/>
          <w:kern w:val="2"/>
          <w:sz w:val="32"/>
          <w:szCs w:val="30"/>
        </w:rPr>
        <w:t>一、部门主要职责</w:t>
      </w:r>
    </w:p>
    <w:p>
      <w:pPr>
        <w:pStyle w:val="6"/>
        <w:spacing w:line="560" w:lineRule="atLeast"/>
        <w:ind w:firstLine="1280" w:firstLineChars="40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w:t>
      </w:r>
      <w:r>
        <w:rPr>
          <w:rFonts w:hint="eastAsia" w:ascii="Adobe 仿宋 Std R" w:hAnsi="Adobe 仿宋 Std R" w:eastAsia="Adobe 仿宋 Std R" w:cs="黑体"/>
          <w:kern w:val="2"/>
          <w:sz w:val="32"/>
          <w:szCs w:val="30"/>
        </w:rPr>
        <w:t>机构设置及人员情况</w:t>
      </w:r>
    </w:p>
    <w:p>
      <w:pPr>
        <w:pStyle w:val="6"/>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赣州市建设市场督察站</w:t>
      </w:r>
      <w:r>
        <w:fldChar w:fldCharType="end"/>
      </w:r>
      <w:r>
        <w:rPr>
          <w:rFonts w:hint="eastAsia" w:ascii="仿宋_GB2312" w:eastAsia="仿宋_GB2312"/>
          <w:b/>
          <w:bCs/>
          <w:color w:val="000000"/>
          <w:sz w:val="32"/>
          <w:szCs w:val="32"/>
        </w:rPr>
        <w:t>2021年部门预算表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一、《收支预算总表》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二、《部门收入总表》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三、《部门支出总表》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四、《财政拨款收支总表》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五、《一般公共预算支出表》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六、《一般公共预算基本支出表》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七、《一般公共预算“三公”经费支出表》</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八、《政府性基金预算支出表》</w:t>
      </w:r>
    </w:p>
    <w:p>
      <w:pPr>
        <w:pStyle w:val="6"/>
        <w:tabs>
          <w:tab w:val="left" w:pos="6546"/>
        </w:tabs>
        <w:spacing w:line="560" w:lineRule="atLeast"/>
        <w:ind w:firstLine="128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九、</w:t>
      </w:r>
      <w:r>
        <w:rPr>
          <w:rFonts w:ascii="Adobe 仿宋 Std R" w:hAnsi="Adobe 仿宋 Std R" w:eastAsia="Adobe 仿宋 Std R" w:cs="黑体"/>
          <w:kern w:val="2"/>
          <w:sz w:val="32"/>
          <w:szCs w:val="30"/>
        </w:rPr>
        <w:t>《</w:t>
      </w:r>
      <w:r>
        <w:rPr>
          <w:rFonts w:hint="eastAsia" w:ascii="Adobe 仿宋 Std R" w:hAnsi="Adobe 仿宋 Std R" w:eastAsia="Adobe 仿宋 Std R" w:cs="黑体"/>
          <w:kern w:val="2"/>
          <w:sz w:val="32"/>
          <w:szCs w:val="30"/>
        </w:rPr>
        <w:t>重点项目绩效目标表</w:t>
      </w:r>
      <w:r>
        <w:rPr>
          <w:rFonts w:ascii="Adobe 仿宋 Std R" w:hAnsi="Adobe 仿宋 Std R" w:eastAsia="Adobe 仿宋 Std R" w:cs="黑体"/>
          <w:kern w:val="2"/>
          <w:sz w:val="32"/>
          <w:szCs w:val="30"/>
        </w:rPr>
        <w:t>》</w:t>
      </w:r>
    </w:p>
    <w:p>
      <w:pPr>
        <w:pStyle w:val="6"/>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第三部分赣州市建设市场督察站2021年部门预算情况说明</w:t>
      </w:r>
    </w:p>
    <w:p>
      <w:pPr>
        <w:pStyle w:val="6"/>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w:t>
      </w:r>
      <w:r>
        <w:rPr>
          <w:rFonts w:hint="eastAsia" w:ascii="Adobe 仿宋 Std R" w:hAnsi="Adobe 仿宋 Std R" w:eastAsia="Adobe 仿宋 Std R" w:cs="黑体"/>
          <w:kern w:val="2"/>
          <w:sz w:val="32"/>
          <w:szCs w:val="30"/>
        </w:rPr>
        <w:t>2021</w:t>
      </w:r>
      <w:r>
        <w:rPr>
          <w:rFonts w:ascii="Adobe 仿宋 Std R" w:hAnsi="Adobe 仿宋 Std R" w:eastAsia="Adobe 仿宋 Std R" w:cs="黑体"/>
          <w:kern w:val="2"/>
          <w:sz w:val="32"/>
          <w:szCs w:val="30"/>
        </w:rPr>
        <w:t>年部门预算收支情况说明</w:t>
      </w:r>
    </w:p>
    <w:p>
      <w:pPr>
        <w:pStyle w:val="6"/>
        <w:spacing w:line="560" w:lineRule="atLeast"/>
        <w:ind w:firstLine="1120" w:firstLineChars="35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 xml:space="preserve"> 二、</w:t>
      </w:r>
      <w:r>
        <w:rPr>
          <w:rFonts w:hint="eastAsia" w:ascii="Adobe 仿宋 Std R" w:hAnsi="Adobe 仿宋 Std R" w:eastAsia="Adobe 仿宋 Std R" w:cs="黑体"/>
          <w:kern w:val="2"/>
          <w:sz w:val="32"/>
          <w:szCs w:val="30"/>
        </w:rPr>
        <w:t>2021</w:t>
      </w:r>
      <w:r>
        <w:rPr>
          <w:rFonts w:ascii="Adobe 仿宋 Std R" w:hAnsi="Adobe 仿宋 Std R" w:eastAsia="Adobe 仿宋 Std R" w:cs="黑体"/>
          <w:kern w:val="2"/>
          <w:sz w:val="32"/>
          <w:szCs w:val="30"/>
        </w:rPr>
        <w:t>年“三公”经费预算情况说明</w:t>
      </w:r>
    </w:p>
    <w:p>
      <w:pPr>
        <w:pStyle w:val="6"/>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40" w:lineRule="exact"/>
        <w:jc w:val="center"/>
        <w:rPr>
          <w:rFonts w:ascii="仿宋" w:hAnsi="仿宋" w:eastAsia="仿宋" w:cs="仿宋"/>
          <w:b/>
          <w:sz w:val="32"/>
          <w:szCs w:val="32"/>
        </w:rPr>
      </w:pPr>
      <w:r>
        <w:rPr>
          <w:rFonts w:hint="eastAsia" w:ascii="仿宋_GB2312" w:eastAsia="仿宋_GB2312"/>
          <w:b/>
          <w:bCs/>
          <w:color w:val="000000"/>
          <w:sz w:val="32"/>
          <w:szCs w:val="32"/>
        </w:rPr>
        <w:t>第一部分  赣州市建设市场督察站概况</w:t>
      </w: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一、部门主要职责</w:t>
      </w:r>
    </w:p>
    <w:p>
      <w:pPr>
        <w:widowControl/>
        <w:spacing w:line="58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宣传、贯彻执行有关工程建设的法律、法规和规章;负责查处参与工程建设活动各方责任主体各类违反基本建设法律法规和程序的违法违规行为;负责查处勘察、设计、施</w:t>
      </w:r>
    </w:p>
    <w:p>
      <w:pPr>
        <w:widowControl/>
        <w:spacing w:line="580" w:lineRule="exact"/>
        <w:jc w:val="left"/>
        <w:rPr>
          <w:rFonts w:ascii="Adobe 仿宋 Std R" w:hAnsi="Adobe 仿宋 Std R" w:eastAsia="Adobe 仿宋 Std R"/>
          <w:sz w:val="32"/>
          <w:szCs w:val="32"/>
        </w:rPr>
      </w:pPr>
      <w:r>
        <w:rPr>
          <w:rFonts w:hint="eastAsia" w:ascii="Adobe 仿宋 Std R" w:hAnsi="Adobe 仿宋 Std R" w:eastAsia="Adobe 仿宋 Std R"/>
          <w:sz w:val="32"/>
          <w:szCs w:val="32"/>
        </w:rPr>
        <w:t>工、监理单位无资质、越级或超越资质范围从事建设活动的违法违规行为;负责查处未依法取得执业资格或超越执业资格许可从事建筑活动的违法违规行为;指导、监督全市建设行政执法业务工作。</w:t>
      </w:r>
    </w:p>
    <w:p>
      <w:pPr>
        <w:widowControl/>
        <w:spacing w:line="580" w:lineRule="exact"/>
        <w:ind w:firstLine="643" w:firstLineChars="200"/>
        <w:jc w:val="left"/>
        <w:rPr>
          <w:rFonts w:ascii="Adobe 仿宋 Std R" w:hAnsi="Adobe 仿宋 Std R" w:eastAsia="Adobe 仿宋 Std R"/>
          <w:sz w:val="32"/>
          <w:szCs w:val="32"/>
        </w:rPr>
      </w:pPr>
      <w:r>
        <w:rPr>
          <w:rFonts w:hint="eastAsia" w:ascii="楷体_GB2312" w:eastAsia="楷体_GB2312"/>
          <w:b/>
          <w:sz w:val="32"/>
          <w:szCs w:val="30"/>
        </w:rPr>
        <w:t>二、机构设置及人员情况</w:t>
      </w:r>
    </w:p>
    <w:p>
      <w:pPr>
        <w:widowControl/>
        <w:spacing w:line="540" w:lineRule="exact"/>
        <w:ind w:firstLine="640" w:firstLineChars="200"/>
        <w:rPr>
          <w:rFonts w:ascii="仿宋" w:hAnsi="仿宋" w:eastAsia="仿宋" w:cs="仿宋"/>
          <w:b/>
          <w:kern w:val="0"/>
          <w:sz w:val="32"/>
          <w:szCs w:val="32"/>
        </w:rPr>
      </w:pPr>
      <w:r>
        <w:rPr>
          <w:rFonts w:hint="eastAsia" w:ascii="仿宋" w:hAnsi="仿宋" w:eastAsia="仿宋"/>
          <w:sz w:val="32"/>
          <w:szCs w:val="32"/>
        </w:rPr>
        <w:t>赣州市建设市场督察站为赣州市住房和城乡建设局下属的正科级全额拨款、公益一类事业单位。机构设置:一正一副。现核定编制人员8名，在职人员8名。</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赣州市建设市场督察站</w:t>
      </w:r>
      <w:r>
        <w:fldChar w:fldCharType="end"/>
      </w:r>
      <w:r>
        <w:rPr>
          <w:rFonts w:hint="eastAsia" w:ascii="仿宋_GB2312" w:eastAsia="仿宋_GB2312"/>
          <w:b/>
          <w:sz w:val="32"/>
          <w:szCs w:val="30"/>
        </w:rPr>
        <w:t>2021年部门预算表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 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赣州市建设市场督察站</w:t>
      </w:r>
      <w:r>
        <w:fldChar w:fldCharType="end"/>
      </w:r>
      <w:r>
        <w:rPr>
          <w:rFonts w:hint="eastAsia" w:ascii="仿宋_GB2312" w:eastAsia="仿宋_GB2312"/>
          <w:b/>
          <w:sz w:val="32"/>
          <w:szCs w:val="30"/>
        </w:rPr>
        <w:t>2021年部门预算情况说明</w:t>
      </w: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一、2021年部门预算收支情况说明</w:t>
      </w:r>
    </w:p>
    <w:p>
      <w:pPr>
        <w:rPr>
          <w:rStyle w:val="7"/>
          <w:rFonts w:ascii="仿宋_GB2312" w:hAnsi="仿宋_GB2312" w:eastAsia="仿宋_GB2312" w:cs="仿宋_GB2312"/>
          <w:b/>
          <w:sz w:val="32"/>
          <w:szCs w:val="32"/>
        </w:rPr>
      </w:pPr>
      <w:r>
        <w:rPr>
          <w:rStyle w:val="7"/>
          <w:rFonts w:hint="eastAsia" w:ascii="Adobe 仿宋 Std R" w:hAnsi="Adobe 仿宋 Std R" w:eastAsia="Adobe 仿宋 Std R"/>
          <w:b/>
          <w:sz w:val="32"/>
          <w:szCs w:val="32"/>
        </w:rPr>
        <w:t xml:space="preserve">   </w:t>
      </w:r>
      <w:r>
        <w:rPr>
          <w:rStyle w:val="7"/>
          <w:rFonts w:hint="eastAsia" w:ascii="仿宋_GB2312" w:hAnsi="仿宋_GB2312" w:eastAsia="仿宋_GB2312" w:cs="仿宋_GB2312"/>
          <w:b/>
          <w:sz w:val="32"/>
          <w:szCs w:val="32"/>
        </w:rPr>
        <w:t>(一)收入预算情况</w:t>
      </w:r>
    </w:p>
    <w:p>
      <w:pPr>
        <w:widowControl/>
        <w:ind w:firstLine="640" w:firstLineChars="200"/>
        <w:rPr>
          <w:rFonts w:ascii="仿宋_GB2312" w:hAnsi="仿宋_GB2312" w:eastAsia="仿宋_GB2312" w:cs="仿宋_GB2312"/>
          <w:kern w:val="0"/>
          <w:sz w:val="32"/>
        </w:rPr>
      </w:pPr>
      <w:r>
        <w:rPr>
          <w:rFonts w:hint="eastAsia" w:ascii="仿宋_GB2312" w:hAnsi="仿宋_GB2312" w:eastAsia="仿宋_GB2312" w:cs="仿宋_GB2312"/>
          <w:kern w:val="0"/>
          <w:sz w:val="32"/>
          <w:szCs w:val="32"/>
        </w:rPr>
        <w:t>2021年赣州市建设市场督察站收入预算总额为82.03万元,较上年预算安排增加11.11万元,</w:t>
      </w:r>
      <w:r>
        <w:rPr>
          <w:rFonts w:hint="eastAsia" w:ascii="仿宋_GB2312" w:hAnsi="仿宋_GB2312" w:eastAsia="仿宋_GB2312" w:cs="仿宋_GB2312"/>
          <w:bCs/>
          <w:color w:val="000000" w:themeColor="text1"/>
          <w:kern w:val="0"/>
          <w:sz w:val="32"/>
          <w:szCs w:val="32"/>
        </w:rPr>
        <w:t>主要因为执法业务工作增加</w:t>
      </w:r>
      <w:r>
        <w:rPr>
          <w:rFonts w:hint="eastAsia" w:ascii="仿宋_GB2312" w:hAnsi="仿宋_GB2312" w:eastAsia="仿宋_GB2312" w:cs="仿宋_GB2312"/>
          <w:kern w:val="0"/>
          <w:sz w:val="32"/>
          <w:szCs w:val="32"/>
        </w:rPr>
        <w:t>。其中：财政拨款收入79.69万元，教育收费资金收入0万元，事业单位经营收入0万元，国库集中支付网上结转2.34万元。</w:t>
      </w:r>
    </w:p>
    <w:p>
      <w:pPr>
        <w:ind w:firstLine="321" w:firstLineChars="1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 xml:space="preserve">  (二)支出预算情况</w:t>
      </w:r>
    </w:p>
    <w:p>
      <w:pPr>
        <w:ind w:firstLine="640" w:firstLineChars="200"/>
        <w:rPr>
          <w:rStyle w:val="7"/>
          <w:rFonts w:ascii="仿宋_GB2312" w:hAnsi="仿宋_GB2312" w:eastAsia="仿宋_GB2312" w:cs="仿宋_GB2312"/>
          <w:sz w:val="32"/>
          <w:szCs w:val="32"/>
        </w:rPr>
      </w:pPr>
      <w:r>
        <w:rPr>
          <w:rStyle w:val="7"/>
          <w:rFonts w:hint="eastAsia" w:ascii="仿宋_GB2312" w:hAnsi="仿宋_GB2312" w:eastAsia="仿宋_GB2312" w:cs="仿宋_GB2312"/>
          <w:sz w:val="32"/>
          <w:szCs w:val="32"/>
        </w:rPr>
        <w:t>2021年赣州市建设市场督察站支出预算总额为支出预算总额为82.03万元,较上年预算安排增加11.11万元,</w:t>
      </w:r>
      <w:r>
        <w:rPr>
          <w:rFonts w:hint="eastAsia" w:ascii="仿宋_GB2312" w:hAnsi="仿宋_GB2312" w:eastAsia="仿宋_GB2312" w:cs="仿宋_GB2312"/>
          <w:bCs/>
          <w:color w:val="000000" w:themeColor="text1"/>
          <w:kern w:val="0"/>
          <w:sz w:val="32"/>
          <w:szCs w:val="32"/>
        </w:rPr>
        <w:t xml:space="preserve"> 主要因为执法业务工作增加</w:t>
      </w:r>
      <w:r>
        <w:rPr>
          <w:rFonts w:hint="eastAsia" w:ascii="仿宋_GB2312" w:hAnsi="仿宋_GB2312" w:eastAsia="仿宋_GB2312" w:cs="仿宋_GB2312"/>
          <w:kern w:val="0"/>
          <w:sz w:val="32"/>
          <w:szCs w:val="32"/>
        </w:rPr>
        <w:t>。</w:t>
      </w:r>
      <w:r>
        <w:rPr>
          <w:rStyle w:val="7"/>
          <w:rFonts w:hint="eastAsia" w:ascii="仿宋_GB2312" w:hAnsi="仿宋_GB2312" w:eastAsia="仿宋_GB2312" w:cs="仿宋_GB2312"/>
          <w:sz w:val="32"/>
          <w:szCs w:val="32"/>
        </w:rPr>
        <w:t>按支出项目划分：基本支出82.03万元，项目支出0万元。</w:t>
      </w:r>
    </w:p>
    <w:p>
      <w:pPr>
        <w:ind w:firstLine="640" w:firstLineChars="200"/>
        <w:rPr>
          <w:rStyle w:val="7"/>
          <w:rFonts w:ascii="仿宋_GB2312" w:hAnsi="仿宋_GB2312" w:eastAsia="仿宋_GB2312" w:cs="仿宋_GB2312"/>
          <w:sz w:val="32"/>
          <w:szCs w:val="32"/>
        </w:rPr>
      </w:pPr>
      <w:r>
        <w:rPr>
          <w:rStyle w:val="7"/>
          <w:rFonts w:hint="eastAsia" w:ascii="仿宋_GB2312" w:hAnsi="仿宋_GB2312" w:eastAsia="仿宋_GB2312" w:cs="仿宋_GB2312"/>
          <w:sz w:val="32"/>
          <w:szCs w:val="32"/>
        </w:rPr>
        <w:t>按支出功能科目划分：一般公共服务支出0万元，社会保障和就业支出7.55万元，卫生健康支出5.5万元，城乡社区支出63.57万元，住房保障支出5.41万元。</w:t>
      </w:r>
    </w:p>
    <w:p>
      <w:pPr>
        <w:ind w:firstLine="643" w:firstLineChars="2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(三)财政拨款支出情况</w:t>
      </w:r>
    </w:p>
    <w:p>
      <w:pPr>
        <w:ind w:firstLine="640" w:firstLineChars="200"/>
        <w:rPr>
          <w:rStyle w:val="7"/>
          <w:rFonts w:ascii="仿宋_GB2312" w:hAnsi="仿宋_GB2312" w:eastAsia="仿宋_GB2312" w:cs="仿宋_GB2312"/>
          <w:sz w:val="32"/>
          <w:szCs w:val="32"/>
        </w:rPr>
      </w:pPr>
      <w:r>
        <w:rPr>
          <w:rStyle w:val="7"/>
          <w:rFonts w:hint="eastAsia" w:ascii="仿宋_GB2312" w:hAnsi="仿宋_GB2312" w:eastAsia="仿宋_GB2312" w:cs="仿宋_GB2312"/>
          <w:sz w:val="32"/>
          <w:szCs w:val="32"/>
        </w:rPr>
        <w:t>2021年赣州市建设市场督察站财政拨款支出预算总额为财政拨款支出预算总额79.69万元，其中：按支出功能科目划分：一般公共服务支出0万元，社会保障和就业支出7.21万元，卫生健康支出5.5万元，城乡社区支出61.57万元，住房保障支出5.41万元。</w:t>
      </w:r>
    </w:p>
    <w:p>
      <w:pPr>
        <w:ind w:firstLine="643" w:firstLineChars="2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(四)政府性基金情况</w:t>
      </w:r>
    </w:p>
    <w:p>
      <w:pPr>
        <w:ind w:firstLine="640" w:firstLineChars="200"/>
        <w:rPr>
          <w:rStyle w:val="7"/>
          <w:rFonts w:ascii="仿宋_GB2312" w:hAnsi="仿宋_GB2312" w:eastAsia="仿宋_GB2312" w:cs="仿宋_GB2312"/>
          <w:color w:val="000000" w:themeColor="text1"/>
          <w:sz w:val="32"/>
          <w:szCs w:val="32"/>
        </w:rPr>
      </w:pPr>
      <w:r>
        <w:rPr>
          <w:rStyle w:val="7"/>
          <w:rFonts w:hint="eastAsia" w:ascii="仿宋_GB2312" w:hAnsi="仿宋_GB2312" w:eastAsia="仿宋_GB2312" w:cs="仿宋_GB2312"/>
          <w:color w:val="000000" w:themeColor="text1"/>
          <w:sz w:val="32"/>
          <w:szCs w:val="32"/>
        </w:rPr>
        <w:t>无政府性基金预算拨款安排的支出</w:t>
      </w:r>
    </w:p>
    <w:p>
      <w:pPr>
        <w:ind w:firstLine="321" w:firstLineChars="1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 xml:space="preserve">  (五)机关运行经费等重要事项的说明</w:t>
      </w:r>
    </w:p>
    <w:p>
      <w:pPr>
        <w:widowControl/>
        <w:spacing w:line="580" w:lineRule="exact"/>
        <w:ind w:firstLine="636"/>
        <w:jc w:val="left"/>
        <w:rPr>
          <w:rFonts w:ascii="仿宋_GB2312" w:hAnsi="仿宋_GB2312" w:eastAsia="仿宋_GB2312" w:cs="仿宋_GB2312"/>
          <w:sz w:val="32"/>
          <w:szCs w:val="32"/>
        </w:rPr>
      </w:pPr>
      <w:r>
        <w:rPr>
          <w:rStyle w:val="7"/>
          <w:rFonts w:hint="eastAsia" w:ascii="仿宋_GB2312" w:hAnsi="仿宋_GB2312" w:eastAsia="仿宋_GB2312" w:cs="仿宋_GB2312"/>
          <w:sz w:val="32"/>
          <w:szCs w:val="32"/>
        </w:rPr>
        <w:t>本单位非行政参公单位，无机关运行经费。</w:t>
      </w:r>
    </w:p>
    <w:p>
      <w:pPr>
        <w:ind w:firstLine="643" w:firstLineChars="2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(六)政府采购情况</w:t>
      </w:r>
    </w:p>
    <w:p>
      <w:pPr>
        <w:ind w:firstLine="640" w:firstLineChars="200"/>
        <w:rPr>
          <w:rStyle w:val="7"/>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2021年部门所属各单位政府采购总额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 政府采购货物预算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政府采购工程预算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 政府采购服务预算</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p>
    <w:p>
      <w:pPr>
        <w:ind w:firstLine="643" w:firstLineChars="20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(七)国有资产占有使用情况</w:t>
      </w:r>
    </w:p>
    <w:p>
      <w:pPr>
        <w:ind w:firstLine="642"/>
        <w:rPr>
          <w:rFonts w:ascii="仿宋_GB2312" w:hAnsi="仿宋_GB2312" w:eastAsia="仿宋_GB2312" w:cs="仿宋_GB2312"/>
        </w:rPr>
      </w:pPr>
      <w:r>
        <w:rPr>
          <w:rFonts w:hint="eastAsia" w:ascii="仿宋_GB2312" w:hAnsi="仿宋_GB2312" w:eastAsia="仿宋_GB2312" w:cs="仿宋_GB2312"/>
          <w:sz w:val="32"/>
          <w:szCs w:val="32"/>
        </w:rPr>
        <w:t xml:space="preserve">截至2020年12月31日,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${page400644146.ds532982397_REP_JX_BAS_AGENCY_INFO_ZYFRS_S_CLSYS}</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部门共有车辆</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辆,其中：一般公务用车实有数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辆,执法执勤用车实有数</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辆。</w:t>
      </w:r>
      <w:r>
        <w:rPr>
          <w:rFonts w:hint="eastAsia" w:ascii="仿宋_GB2312" w:hAnsi="仿宋_GB2312" w:eastAsia="仿宋_GB2312" w:cs="仿宋_GB2312"/>
        </w:rPr>
        <w:fldChar w:fldCharType="end"/>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2021年部门预算安排购置车辆</w:t>
      </w:r>
      <w:r>
        <w:rPr>
          <w:rFonts w:hint="eastAsia" w:ascii="仿宋_GB2312" w:hAnsi="仿宋_GB2312" w:eastAsia="仿宋_GB2312" w:cs="仿宋_GB2312"/>
          <w:sz w:val="32"/>
          <w:szCs w:val="32"/>
          <w:u w:val="single"/>
        </w:rPr>
        <w:t>0</w:t>
      </w:r>
      <w:r>
        <w:rPr>
          <w:rFonts w:hint="eastAsia" w:ascii="仿宋_GB2312" w:hAnsi="仿宋_GB2312" w:eastAsia="仿宋_GB2312" w:cs="仿宋_GB2312"/>
          <w:sz w:val="32"/>
          <w:szCs w:val="32"/>
        </w:rPr>
        <w:t>辆，安排购置单位价值200万元以上大型设备</w:t>
      </w:r>
      <w:r>
        <w:rPr>
          <w:rFonts w:hint="eastAsia" w:ascii="仿宋_GB2312" w:hAnsi="仿宋_GB2312" w:eastAsia="仿宋_GB2312" w:cs="仿宋_GB2312"/>
          <w:sz w:val="32"/>
          <w:szCs w:val="32"/>
          <w:u w:val="single"/>
        </w:rPr>
        <w:t>0</w:t>
      </w:r>
      <w:r>
        <w:rPr>
          <w:rFonts w:hint="eastAsia" w:ascii="仿宋_GB2312" w:hAnsi="仿宋_GB2312" w:eastAsia="仿宋_GB2312" w:cs="仿宋_GB2312"/>
          <w:sz w:val="32"/>
          <w:szCs w:val="32"/>
        </w:rPr>
        <w:t>(单位：如台、个、辆等)。</w:t>
      </w:r>
    </w:p>
    <w:p>
      <w:pPr>
        <w:ind w:firstLine="482" w:firstLineChars="150"/>
        <w:rPr>
          <w:rStyle w:val="7"/>
          <w:rFonts w:ascii="仿宋_GB2312" w:hAnsi="仿宋_GB2312" w:eastAsia="仿宋_GB2312" w:cs="仿宋_GB2312"/>
          <w:b/>
          <w:sz w:val="32"/>
          <w:szCs w:val="32"/>
        </w:rPr>
      </w:pPr>
      <w:r>
        <w:rPr>
          <w:rStyle w:val="7"/>
          <w:rFonts w:hint="eastAsia" w:ascii="仿宋_GB2312" w:hAnsi="仿宋_GB2312" w:eastAsia="仿宋_GB2312" w:cs="仿宋_GB2312"/>
          <w:b/>
          <w:sz w:val="32"/>
          <w:szCs w:val="32"/>
        </w:rPr>
        <w:t>（八）项目情况说明（部门本级）</w:t>
      </w:r>
    </w:p>
    <w:p>
      <w:pPr>
        <w:ind w:firstLine="640" w:firstLineChars="200"/>
        <w:rPr>
          <w:rStyle w:val="7"/>
          <w:rFonts w:ascii="仿宋_GB2312" w:hAnsi="仿宋_GB2312" w:eastAsia="仿宋_GB2312" w:cs="仿宋_GB2312"/>
          <w:color w:val="FF0000"/>
          <w:sz w:val="32"/>
          <w:szCs w:val="32"/>
        </w:rPr>
      </w:pPr>
      <w:r>
        <w:rPr>
          <w:rStyle w:val="7"/>
          <w:rFonts w:hint="eastAsia" w:ascii="仿宋_GB2312" w:hAnsi="仿宋_GB2312" w:eastAsia="仿宋_GB2312" w:cs="仿宋_GB2312"/>
          <w:color w:val="000000" w:themeColor="text1"/>
          <w:sz w:val="32"/>
          <w:szCs w:val="32"/>
        </w:rPr>
        <w:t>无项目支出</w:t>
      </w:r>
    </w:p>
    <w:p>
      <w:pPr>
        <w:widowControl/>
        <w:spacing w:line="580" w:lineRule="exact"/>
        <w:ind w:firstLine="643" w:firstLineChars="200"/>
        <w:jc w:val="left"/>
        <w:rPr>
          <w:rFonts w:ascii="仿宋_GB2312" w:hAnsi="仿宋_GB2312" w:eastAsia="仿宋_GB2312" w:cs="仿宋_GB2312"/>
          <w:b/>
          <w:sz w:val="32"/>
          <w:szCs w:val="30"/>
        </w:rPr>
      </w:pPr>
      <w:r>
        <w:rPr>
          <w:rFonts w:hint="eastAsia" w:ascii="仿宋_GB2312" w:hAnsi="仿宋_GB2312" w:eastAsia="仿宋_GB2312" w:cs="仿宋_GB2312"/>
          <w:b/>
          <w:kern w:val="0"/>
          <w:sz w:val="32"/>
          <w:szCs w:val="32"/>
        </w:rPr>
        <w:t>二、</w:t>
      </w:r>
      <w:r>
        <w:rPr>
          <w:rFonts w:hint="eastAsia" w:ascii="仿宋_GB2312" w:hAnsi="仿宋_GB2312" w:eastAsia="仿宋_GB2312" w:cs="仿宋_GB2312"/>
          <w:b/>
          <w:sz w:val="32"/>
          <w:szCs w:val="30"/>
        </w:rPr>
        <w:t>2021年“三公”经费预算情况说明</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2021年赣州市建设市场督察站"三公"经费一般公共预算安排3.90万元，其中：</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因公出国</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公务接待</w:t>
      </w:r>
      <w:r>
        <w:rPr>
          <w:rFonts w:hint="eastAsia" w:ascii="仿宋_GB2312" w:hAnsi="仿宋_GB2312" w:eastAsia="仿宋_GB2312" w:cs="仿宋_GB2312"/>
          <w:kern w:val="0"/>
          <w:sz w:val="32"/>
          <w:szCs w:val="32"/>
        </w:rPr>
        <w:t>3.90</w:t>
      </w:r>
      <w:r>
        <w:rPr>
          <w:rFonts w:hint="eastAsia" w:ascii="仿宋_GB2312" w:hAnsi="仿宋_GB2312" w:eastAsia="仿宋_GB2312" w:cs="仿宋_GB2312"/>
          <w:bCs/>
          <w:sz w:val="32"/>
          <w:szCs w:val="32"/>
        </w:rPr>
        <w:t>万元,比上年增（减）0元，主要原因是：无。</w:t>
      </w:r>
      <w:bookmarkStart w:id="1" w:name="_GoBack"/>
      <w:bookmarkEnd w:id="1"/>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公务用车运行</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公务用车购置</w:t>
      </w:r>
      <w:r>
        <w:rPr>
          <w:rFonts w:hint="eastAsia" w:ascii="仿宋_GB2312" w:hAnsi="仿宋_GB2312" w:eastAsia="仿宋_GB2312" w:cs="仿宋_GB2312"/>
          <w:kern w:val="0"/>
          <w:sz w:val="32"/>
          <w:szCs w:val="32"/>
        </w:rPr>
        <w:t>0</w:t>
      </w:r>
      <w:r>
        <w:rPr>
          <w:rFonts w:hint="eastAsia" w:ascii="仿宋_GB2312" w:hAnsi="仿宋_GB2312" w:eastAsia="仿宋_GB2312" w:cs="仿宋_GB2312"/>
          <w:bCs/>
          <w:sz w:val="32"/>
          <w:szCs w:val="32"/>
        </w:rPr>
        <w:t>万元,比上年增（减）0万元，主要原因是：无。</w:t>
      </w: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3" w:firstLineChars="250"/>
        <w:jc w:val="left"/>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一、收入科目</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各部门结合实际进行解释。</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使用非财政拨款结余：填列历年滚存的非限定用途的非统计财政拨款结余弥补2021年收支差额的数额。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上年结转和结余：填列2021年全部结转和结余的资金数，包括当年结转结余资金和历年滚存结转结余资金。</w:t>
      </w:r>
    </w:p>
    <w:p>
      <w:pPr>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对部门预算中涉及的支出功能分类科目（明细到项级），结合部门实际，参照《2021年政府收支分类科目》的规范说明进行解释。</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0D33017"/>
    <w:rsid w:val="000302C5"/>
    <w:rsid w:val="0019022E"/>
    <w:rsid w:val="001C2F84"/>
    <w:rsid w:val="002F6510"/>
    <w:rsid w:val="00303C88"/>
    <w:rsid w:val="00317EB3"/>
    <w:rsid w:val="003A06B7"/>
    <w:rsid w:val="004627C2"/>
    <w:rsid w:val="00484297"/>
    <w:rsid w:val="004B5E82"/>
    <w:rsid w:val="00533E44"/>
    <w:rsid w:val="00562FD7"/>
    <w:rsid w:val="00714B28"/>
    <w:rsid w:val="00917D40"/>
    <w:rsid w:val="009C2720"/>
    <w:rsid w:val="00A5641D"/>
    <w:rsid w:val="00A9292D"/>
    <w:rsid w:val="00B0377A"/>
    <w:rsid w:val="00B144BD"/>
    <w:rsid w:val="00B24A88"/>
    <w:rsid w:val="00C944CA"/>
    <w:rsid w:val="00D0018A"/>
    <w:rsid w:val="00D9521C"/>
    <w:rsid w:val="00E97E8C"/>
    <w:rsid w:val="00F64976"/>
    <w:rsid w:val="00FD29FA"/>
    <w:rsid w:val="00FE2AF2"/>
    <w:rsid w:val="1D363AEE"/>
    <w:rsid w:val="2E4A0DA0"/>
    <w:rsid w:val="30C17CEE"/>
    <w:rsid w:val="35766FBA"/>
    <w:rsid w:val="40D33017"/>
    <w:rsid w:val="56CC326D"/>
    <w:rsid w:val="6A1B137A"/>
    <w:rsid w:val="79A631CD"/>
    <w:rsid w:val="7D5C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Times New Roman" w:hAnsi="Times New Roman" w:eastAsia="宋体" w:cs="Times New Roman"/>
      <w:kern w:val="0"/>
      <w:szCs w:val="21"/>
    </w:rPr>
  </w:style>
  <w:style w:type="character" w:customStyle="1" w:styleId="7">
    <w:name w:val="row_tree_level_4"/>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353</Words>
  <Characters>2015</Characters>
  <Lines>16</Lines>
  <Paragraphs>4</Paragraphs>
  <TotalTime>61</TotalTime>
  <ScaleCrop>false</ScaleCrop>
  <LinksUpToDate>false</LinksUpToDate>
  <CharactersWithSpaces>2364</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2022-08-31T08:32:00Z</dcterms:created>
  <dc:creator>孔福泉</dc:creator>
  <cp:lastModifiedBy>TITA</cp:lastModifiedBy>
  <dcterms:modified xsi:type="dcterms:W3CDTF">2022-09-03T14:55:16Z</dcterms:modified>
  <dc:title>关于预算公开的填报口径说明</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077443365B894D9CBB4EC6271243E20D</vt:lpwstr>
  </property>
</Properties>
</file>