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847D9">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pPr>
      <w:bookmarkStart w:id="9" w:name="_GoBack"/>
      <w:bookmarkEnd w:id="9"/>
      <w: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赣州市医疗保障局关于修订《赣州市医疗保障领域包容免罚清单》的通知</w:t>
      </w:r>
    </w:p>
    <w:p w14:paraId="21075AD9">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rPr>
          <w:rFonts w:hint="eastAsia" w:ascii="楷体_GB2312" w:hAnsi="楷体_GB2312" w:eastAsia="楷体_GB2312" w:cs="楷体_GB2312"/>
          <w:b/>
          <w:bCs/>
          <w:i w:val="0"/>
          <w:iCs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shd w:val="clear" w:color="auto" w:fill="FFFFFF"/>
          <w:lang w:val="en-US" w:eastAsia="zh-CN" w:bidi="ar"/>
        </w:rPr>
        <w:t>（征求意见稿）</w:t>
      </w:r>
    </w:p>
    <w:p w14:paraId="233662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jc w:val="both"/>
        <w:textAlignment w:val="auto"/>
        <w:rPr>
          <w:rFonts w:hint="eastAsia" w:ascii="仿宋_GB2312" w:hAnsi="仿宋_GB2312" w:eastAsia="仿宋_GB2312" w:cs="仿宋_GB2312"/>
          <w:i w:val="0"/>
          <w:caps w:val="0"/>
          <w:color w:val="auto"/>
          <w:spacing w:val="0"/>
          <w:sz w:val="36"/>
          <w:szCs w:val="36"/>
          <w:shd w:val="clear" w:color="auto" w:fill="FFFFFF"/>
          <w:lang w:eastAsia="zh-CN"/>
        </w:rPr>
      </w:pPr>
    </w:p>
    <w:p w14:paraId="3988E69A">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为</w:t>
      </w:r>
      <w:r>
        <w:rPr>
          <w:rFonts w:hint="eastAsia" w:ascii="仿宋_GB2312" w:hAnsi="仿宋_GB2312" w:eastAsia="仿宋_GB2312" w:cs="仿宋_GB2312"/>
          <w:i w:val="0"/>
          <w:caps w:val="0"/>
          <w:color w:val="auto"/>
          <w:spacing w:val="0"/>
          <w:sz w:val="32"/>
          <w:szCs w:val="32"/>
          <w:shd w:val="clear" w:color="auto" w:fill="FFFFFF"/>
          <w:lang w:eastAsia="zh-CN"/>
        </w:rPr>
        <w:t>落实《国务院关于进一步规范和监督罚款设定与实施的指导意见》精神，</w:t>
      </w:r>
      <w:r>
        <w:rPr>
          <w:rFonts w:hint="eastAsia" w:ascii="仿宋_GB2312" w:hAnsi="仿宋_GB2312" w:eastAsia="仿宋_GB2312" w:cs="仿宋_GB2312"/>
          <w:i w:val="0"/>
          <w:caps w:val="0"/>
          <w:color w:val="auto"/>
          <w:spacing w:val="0"/>
          <w:sz w:val="32"/>
          <w:szCs w:val="32"/>
          <w:shd w:val="clear" w:color="auto" w:fill="FFFFFF"/>
        </w:rPr>
        <w:t>科学适用过罚相当原则</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推进包容审慎监管，发挥法治引领和保障作用，加快打造市场化、法治化营商环境，根据《中华人民共和国行政处罚法》</w:t>
      </w:r>
      <w:r>
        <w:rPr>
          <w:rFonts w:hint="eastAsia" w:ascii="仿宋_GB2312" w:hAnsi="仿宋_GB2312" w:eastAsia="仿宋_GB2312" w:cs="仿宋_GB2312"/>
          <w:i w:val="0"/>
          <w:caps w:val="0"/>
          <w:color w:val="auto"/>
          <w:spacing w:val="0"/>
          <w:sz w:val="32"/>
          <w:szCs w:val="32"/>
          <w:shd w:val="clear" w:color="auto" w:fill="FFFFFF"/>
          <w:lang w:eastAsia="zh-CN"/>
        </w:rPr>
        <w:t>《中华人民共和国社会保险法》</w:t>
      </w:r>
      <w:r>
        <w:rPr>
          <w:rFonts w:hint="eastAsia" w:ascii="仿宋_GB2312" w:hAnsi="仿宋_GB2312" w:eastAsia="仿宋_GB2312" w:cs="仿宋_GB2312"/>
          <w:i w:val="0"/>
          <w:caps w:val="0"/>
          <w:color w:val="auto"/>
          <w:spacing w:val="0"/>
          <w:sz w:val="32"/>
          <w:szCs w:val="32"/>
          <w:shd w:val="clear" w:color="auto" w:fill="FFFFFF"/>
        </w:rPr>
        <w:t>《医疗保障基金使用监督管理条例》《国务院办公厅关于进一步规范行政裁量权基准制定和管理工作的意见》</w:t>
      </w:r>
      <w:r>
        <w:rPr>
          <w:rFonts w:hint="eastAsia" w:ascii="仿宋_GB2312" w:hAnsi="仿宋_GB2312" w:eastAsia="仿宋_GB2312" w:cs="仿宋_GB2312"/>
          <w:i w:val="0"/>
          <w:caps w:val="0"/>
          <w:color w:val="auto"/>
          <w:spacing w:val="0"/>
          <w:sz w:val="32"/>
          <w:szCs w:val="32"/>
          <w:shd w:val="clear" w:color="auto" w:fill="FFFFFF"/>
          <w:lang w:val="en-US" w:eastAsia="zh-CN"/>
        </w:rPr>
        <w:t>《国家医疗保障局关于印发〈规范医疗保障基金使用监督管理行政处罚裁量权办法〉的通知》以及《江西省优化营商环境条例》等相</w:t>
      </w:r>
      <w:r>
        <w:rPr>
          <w:rFonts w:hint="eastAsia" w:ascii="仿宋_GB2312" w:hAnsi="仿宋_GB2312" w:eastAsia="仿宋_GB2312" w:cs="仿宋_GB2312"/>
          <w:i w:val="0"/>
          <w:caps w:val="0"/>
          <w:color w:val="auto"/>
          <w:spacing w:val="0"/>
          <w:sz w:val="32"/>
          <w:szCs w:val="32"/>
          <w:shd w:val="clear" w:color="auto" w:fill="FFFFFF"/>
        </w:rPr>
        <w:t>关</w:t>
      </w:r>
      <w:r>
        <w:rPr>
          <w:rFonts w:hint="eastAsia" w:ascii="仿宋_GB2312" w:hAnsi="仿宋_GB2312" w:eastAsia="仿宋_GB2312" w:cs="仿宋_GB2312"/>
          <w:i w:val="0"/>
          <w:caps w:val="0"/>
          <w:color w:val="auto"/>
          <w:spacing w:val="0"/>
          <w:sz w:val="32"/>
          <w:szCs w:val="32"/>
          <w:shd w:val="clear" w:color="auto" w:fill="FFFFFF"/>
          <w:lang w:eastAsia="zh-CN"/>
        </w:rPr>
        <w:t>法律法规</w:t>
      </w:r>
      <w:r>
        <w:rPr>
          <w:rFonts w:hint="eastAsia" w:ascii="仿宋_GB2312" w:hAnsi="仿宋_GB2312" w:eastAsia="仿宋_GB2312" w:cs="仿宋_GB2312"/>
          <w:i w:val="0"/>
          <w:caps w:val="0"/>
          <w:color w:val="auto"/>
          <w:spacing w:val="0"/>
          <w:sz w:val="32"/>
          <w:szCs w:val="32"/>
          <w:shd w:val="clear" w:color="auto" w:fill="FFFFFF"/>
          <w:lang w:val="en-US" w:eastAsia="zh-CN"/>
        </w:rPr>
        <w:t>和规范性文件</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对</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赣州市</w:t>
      </w:r>
      <w:r>
        <w:rPr>
          <w:rFonts w:hint="eastAsia" w:ascii="仿宋_GB2312" w:hAnsi="仿宋_GB2312" w:eastAsia="仿宋_GB2312" w:cs="仿宋_GB2312"/>
          <w:i w:val="0"/>
          <w:caps w:val="0"/>
          <w:color w:val="auto"/>
          <w:spacing w:val="0"/>
          <w:sz w:val="32"/>
          <w:szCs w:val="32"/>
          <w:shd w:val="clear" w:color="auto" w:fill="FFFFFF"/>
        </w:rPr>
        <w:t>医疗保障领域包容免罚清单》（以下简称《包容免罚清单》）</w:t>
      </w:r>
      <w:r>
        <w:rPr>
          <w:rFonts w:hint="eastAsia" w:ascii="仿宋_GB2312" w:hAnsi="仿宋_GB2312" w:eastAsia="仿宋_GB2312" w:cs="仿宋_GB2312"/>
          <w:i w:val="0"/>
          <w:caps w:val="0"/>
          <w:color w:val="auto"/>
          <w:spacing w:val="0"/>
          <w:sz w:val="32"/>
          <w:szCs w:val="32"/>
          <w:shd w:val="clear" w:color="auto" w:fill="FFFFFF"/>
          <w:lang w:eastAsia="zh-CN"/>
        </w:rPr>
        <w:t>进行了修订</w:t>
      </w:r>
      <w:r>
        <w:rPr>
          <w:rFonts w:hint="eastAsia" w:ascii="仿宋_GB2312" w:hAnsi="仿宋_GB2312" w:eastAsia="仿宋_GB2312" w:cs="仿宋_GB2312"/>
          <w:i w:val="0"/>
          <w:caps w:val="0"/>
          <w:color w:val="auto"/>
          <w:spacing w:val="0"/>
          <w:sz w:val="32"/>
          <w:szCs w:val="32"/>
          <w:shd w:val="clear" w:color="auto" w:fill="FFFFFF"/>
        </w:rPr>
        <w:t>，现</w:t>
      </w:r>
      <w:r>
        <w:rPr>
          <w:rFonts w:hint="eastAsia" w:ascii="仿宋_GB2312" w:hAnsi="仿宋_GB2312" w:eastAsia="仿宋_GB2312" w:cs="仿宋_GB2312"/>
          <w:i w:val="0"/>
          <w:caps w:val="0"/>
          <w:color w:val="auto"/>
          <w:spacing w:val="0"/>
          <w:sz w:val="32"/>
          <w:szCs w:val="32"/>
          <w:shd w:val="clear" w:color="auto" w:fill="FFFFFF"/>
          <w:lang w:eastAsia="zh-CN"/>
        </w:rPr>
        <w:t>将修订后的</w:t>
      </w:r>
      <w:r>
        <w:rPr>
          <w:rFonts w:hint="eastAsia" w:ascii="仿宋_GB2312" w:hAnsi="仿宋_GB2312" w:eastAsia="仿宋_GB2312" w:cs="仿宋_GB2312"/>
          <w:i w:val="0"/>
          <w:caps w:val="0"/>
          <w:color w:val="auto"/>
          <w:spacing w:val="0"/>
          <w:sz w:val="32"/>
          <w:szCs w:val="32"/>
          <w:shd w:val="clear" w:color="auto" w:fill="FFFFFF"/>
        </w:rPr>
        <w:t>《包容免罚清单》印发你们，请遵照执行，并就有关事项通知如下：</w:t>
      </w:r>
    </w:p>
    <w:p w14:paraId="2C41E1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一、基本原则</w:t>
      </w:r>
    </w:p>
    <w:p w14:paraId="0C48F3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行使医疗保障行政处罚裁量权应严格遵循处罚法定、过罚相当、公平公正、宽严相济、处罚和教育相结合、程序正当的原则，坚持严格执法与包容审慎并重的监管方式，做到事实清楚、证据确凿、处罚得当。</w:t>
      </w:r>
    </w:p>
    <w:p w14:paraId="5756DC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二、适用标准</w:t>
      </w:r>
    </w:p>
    <w:p w14:paraId="4AE529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楷体_GB2312" w:hAnsi="楷体_GB2312" w:eastAsia="楷体_GB2312" w:cs="楷体_GB2312"/>
          <w:b/>
          <w:bCs/>
          <w:i w:val="0"/>
          <w:caps w:val="0"/>
          <w:color w:val="auto"/>
          <w:spacing w:val="0"/>
          <w:sz w:val="32"/>
          <w:szCs w:val="32"/>
          <w:shd w:val="clear" w:color="auto" w:fill="FFFFFF"/>
          <w:lang w:eastAsia="zh-CN"/>
        </w:rPr>
      </w:pPr>
      <w:r>
        <w:rPr>
          <w:rFonts w:hint="eastAsia" w:ascii="楷体_GB2312" w:hAnsi="楷体_GB2312" w:eastAsia="楷体_GB2312" w:cs="楷体_GB2312"/>
          <w:b/>
          <w:bCs/>
          <w:i w:val="0"/>
          <w:caps w:val="0"/>
          <w:color w:val="auto"/>
          <w:spacing w:val="0"/>
          <w:sz w:val="32"/>
          <w:szCs w:val="32"/>
          <w:shd w:val="clear" w:color="auto" w:fill="FFFFFF"/>
          <w:lang w:eastAsia="zh-CN"/>
        </w:rPr>
        <w:t>（一）关于“违法行为轻微并及时改正，没有造成危害后果”不予行政处罚的认定标准</w:t>
      </w:r>
    </w:p>
    <w:p w14:paraId="6955B7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1.违法行为轻微：属于《赣州市医疗保障轻微违法行为不予行政处罚事项清单（202</w:t>
      </w: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lang w:eastAsia="zh-CN"/>
        </w:rPr>
        <w:t>版）》（附件1）所列行为。</w:t>
      </w:r>
    </w:p>
    <w:p w14:paraId="7037A8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2.及时改正：当事人及时主动改正违法行为。</w:t>
      </w:r>
    </w:p>
    <w:p w14:paraId="0055F7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3.没有造成危害后果：违法行为未造成不良社会影响；违法行为有医疗保障基金损失的，及时退回医疗保障基金。</w:t>
      </w:r>
    </w:p>
    <w:p w14:paraId="25DC06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4.不</w:t>
      </w:r>
      <w:r>
        <w:rPr>
          <w:rFonts w:hint="eastAsia" w:ascii="仿宋_GB2312" w:hAnsi="仿宋_GB2312" w:eastAsia="仿宋_GB2312" w:cs="仿宋_GB2312"/>
          <w:i w:val="0"/>
          <w:caps w:val="0"/>
          <w:color w:val="auto"/>
          <w:spacing w:val="0"/>
          <w:sz w:val="32"/>
          <w:szCs w:val="32"/>
          <w:shd w:val="clear" w:color="auto" w:fill="FFFFFF"/>
          <w:lang w:eastAsia="zh-CN"/>
        </w:rPr>
        <w:t>以骗取医保基金为目的：未发现</w:t>
      </w:r>
      <w:r>
        <w:rPr>
          <w:rFonts w:hint="eastAsia" w:ascii="仿宋_GB2312" w:hAnsi="仿宋_GB2312" w:eastAsia="仿宋_GB2312" w:cs="仿宋_GB2312"/>
          <w:i w:val="0"/>
          <w:caps w:val="0"/>
          <w:color w:val="auto"/>
          <w:spacing w:val="0"/>
          <w:sz w:val="32"/>
          <w:szCs w:val="32"/>
          <w:shd w:val="clear" w:color="auto" w:fill="FFFFFF"/>
          <w:lang w:val="en-US" w:eastAsia="zh-CN"/>
        </w:rPr>
        <w:t>当事人以骗取医保基金为目的的违法行为。</w:t>
      </w:r>
    </w:p>
    <w:p w14:paraId="1FB460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lang w:eastAsia="zh-CN"/>
        </w:rPr>
        <w:t>.当事人因《中华人民共和国行政处罚法》第33条第1款的规定，违法行为不予处罚后，两年内再次实施同一违法行为的，不予认定为违法行为轻微。</w:t>
      </w:r>
    </w:p>
    <w:p w14:paraId="41FB59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以上</w:t>
      </w:r>
      <w:r>
        <w:rPr>
          <w:rFonts w:hint="eastAsia" w:ascii="仿宋_GB2312" w:hAnsi="仿宋_GB2312" w:eastAsia="仿宋_GB2312" w:cs="仿宋_GB2312"/>
          <w:i w:val="0"/>
          <w:caps w:val="0"/>
          <w:color w:val="auto"/>
          <w:spacing w:val="0"/>
          <w:sz w:val="32"/>
          <w:szCs w:val="32"/>
          <w:shd w:val="clear" w:color="auto" w:fill="FFFFFF"/>
          <w:lang w:val="en-US" w:eastAsia="zh-CN"/>
        </w:rPr>
        <w:t>五</w:t>
      </w:r>
      <w:r>
        <w:rPr>
          <w:rFonts w:hint="eastAsia" w:ascii="仿宋_GB2312" w:hAnsi="仿宋_GB2312" w:eastAsia="仿宋_GB2312" w:cs="仿宋_GB2312"/>
          <w:i w:val="0"/>
          <w:caps w:val="0"/>
          <w:color w:val="auto"/>
          <w:spacing w:val="0"/>
          <w:sz w:val="32"/>
          <w:szCs w:val="32"/>
          <w:shd w:val="clear" w:color="auto" w:fill="FFFFFF"/>
          <w:lang w:eastAsia="zh-CN"/>
        </w:rPr>
        <w:t>项需同时具备，各类轻微违法行为不予行政处罚的具体情形参见附件1。</w:t>
      </w:r>
    </w:p>
    <w:p w14:paraId="70B02A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楷体_GB2312" w:hAnsi="楷体_GB2312" w:eastAsia="楷体_GB2312" w:cs="楷体_GB2312"/>
          <w:b/>
          <w:bCs/>
          <w:i w:val="0"/>
          <w:caps w:val="0"/>
          <w:color w:val="auto"/>
          <w:spacing w:val="0"/>
          <w:sz w:val="32"/>
          <w:szCs w:val="32"/>
          <w:shd w:val="clear" w:color="auto" w:fill="FFFFFF"/>
          <w:lang w:eastAsia="zh-CN"/>
        </w:rPr>
      </w:pPr>
      <w:r>
        <w:rPr>
          <w:rFonts w:hint="eastAsia" w:ascii="楷体_GB2312" w:hAnsi="楷体_GB2312" w:eastAsia="楷体_GB2312" w:cs="楷体_GB2312"/>
          <w:b/>
          <w:bCs/>
          <w:i w:val="0"/>
          <w:caps w:val="0"/>
          <w:color w:val="auto"/>
          <w:spacing w:val="0"/>
          <w:sz w:val="32"/>
          <w:szCs w:val="32"/>
          <w:shd w:val="clear" w:color="auto" w:fill="FFFFFF"/>
          <w:lang w:eastAsia="zh-CN"/>
        </w:rPr>
        <w:t>（二）关于“初次违法且危害后果轻微并及时改正”可以不予行政处罚的认定标准</w:t>
      </w:r>
    </w:p>
    <w:p w14:paraId="0D5C6F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1.初次违法：经赣州市医疗保障行政部门查询核实，两年内，当事人无因同一违法行为被赣州市医疗保障行政部门做出行政处罚、责令改正的处理记录。</w:t>
      </w:r>
    </w:p>
    <w:p w14:paraId="6C9337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2.危害后果轻微：定点医药机构造成医疗保障基金损失的行为，造成医疗保障基金损失金额</w:t>
      </w:r>
      <w:r>
        <w:rPr>
          <w:rFonts w:hint="eastAsia" w:ascii="仿宋_GB2312" w:hAnsi="仿宋_GB2312" w:eastAsia="仿宋_GB2312" w:cs="仿宋_GB2312"/>
          <w:i w:val="0"/>
          <w:caps w:val="0"/>
          <w:color w:val="auto"/>
          <w:spacing w:val="0"/>
          <w:sz w:val="32"/>
          <w:szCs w:val="32"/>
          <w:shd w:val="clear" w:color="auto" w:fill="FFFFFF"/>
          <w:lang w:val="en-US" w:eastAsia="zh-CN"/>
        </w:rPr>
        <w:t>5000</w:t>
      </w:r>
      <w:r>
        <w:rPr>
          <w:rFonts w:hint="eastAsia" w:ascii="仿宋_GB2312" w:hAnsi="仿宋_GB2312" w:eastAsia="仿宋_GB2312" w:cs="仿宋_GB2312"/>
          <w:i w:val="0"/>
          <w:caps w:val="0"/>
          <w:color w:val="auto"/>
          <w:spacing w:val="0"/>
          <w:sz w:val="32"/>
          <w:szCs w:val="32"/>
          <w:shd w:val="clear" w:color="auto" w:fill="FFFFFF"/>
          <w:lang w:eastAsia="zh-CN"/>
        </w:rPr>
        <w:t>元以下或者该定点医药机构上年度医疗保障基金支付总额的0.</w:t>
      </w:r>
      <w:r>
        <w:rPr>
          <w:rFonts w:hint="eastAsia" w:ascii="仿宋_GB2312" w:hAnsi="仿宋_GB2312" w:eastAsia="仿宋_GB2312" w:cs="仿宋_GB2312"/>
          <w:i w:val="0"/>
          <w:caps w:val="0"/>
          <w:color w:val="auto"/>
          <w:spacing w:val="0"/>
          <w:sz w:val="32"/>
          <w:szCs w:val="32"/>
          <w:shd w:val="clear" w:color="auto" w:fill="FFFFFF"/>
          <w:lang w:val="en-US" w:eastAsia="zh-CN"/>
        </w:rPr>
        <w:t>05</w:t>
      </w:r>
      <w:r>
        <w:rPr>
          <w:rFonts w:hint="eastAsia" w:ascii="仿宋_GB2312" w:hAnsi="仿宋_GB2312" w:eastAsia="仿宋_GB2312" w:cs="仿宋_GB2312"/>
          <w:i w:val="0"/>
          <w:caps w:val="0"/>
          <w:color w:val="auto"/>
          <w:spacing w:val="0"/>
          <w:sz w:val="32"/>
          <w:szCs w:val="32"/>
          <w:shd w:val="clear" w:color="auto" w:fill="FFFFFF"/>
          <w:lang w:eastAsia="zh-CN"/>
        </w:rPr>
        <w:t>%以下；</w:t>
      </w:r>
    </w:p>
    <w:p w14:paraId="50E0D7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eastAsia="zh-CN"/>
        </w:rPr>
        <w:t>.及时改正：当事人主动改正违法行为，或者经赣州市医疗保障行政部门责令改正后，在规定时间内按照要求及时</w:t>
      </w:r>
      <w:r>
        <w:rPr>
          <w:rFonts w:hint="default" w:ascii="仿宋_GB2312" w:hAnsi="仿宋_GB2312" w:eastAsia="仿宋_GB2312" w:cs="仿宋_GB2312"/>
          <w:i w:val="0"/>
          <w:caps w:val="0"/>
          <w:color w:val="auto"/>
          <w:spacing w:val="0"/>
          <w:sz w:val="32"/>
          <w:szCs w:val="32"/>
          <w:shd w:val="clear" w:color="auto" w:fill="FFFFFF"/>
          <w:lang w:val="en-US" w:eastAsia="zh-CN"/>
        </w:rPr>
        <w:t>改正</w:t>
      </w:r>
      <w:r>
        <w:rPr>
          <w:rFonts w:hint="eastAsia" w:ascii="仿宋_GB2312" w:hAnsi="仿宋_GB2312" w:eastAsia="仿宋_GB2312" w:cs="仿宋_GB2312"/>
          <w:i w:val="0"/>
          <w:caps w:val="0"/>
          <w:color w:val="auto"/>
          <w:spacing w:val="0"/>
          <w:sz w:val="32"/>
          <w:szCs w:val="32"/>
          <w:shd w:val="clear" w:color="auto" w:fill="FFFFFF"/>
          <w:lang w:eastAsia="zh-CN"/>
        </w:rPr>
        <w:t xml:space="preserve">。  </w:t>
      </w:r>
    </w:p>
    <w:p w14:paraId="39A4F6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以上三项需同时具备，各类初次违法行为可以不予行政处罚的具体情形参见附件2。</w:t>
      </w:r>
    </w:p>
    <w:p w14:paraId="531068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三、适用程序</w:t>
      </w:r>
    </w:p>
    <w:p w14:paraId="3A29DF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楷体_GB2312" w:hAnsi="楷体_GB2312" w:eastAsia="楷体_GB2312" w:cs="楷体_GB2312"/>
          <w:b/>
          <w:bCs/>
          <w:i w:val="0"/>
          <w:caps w:val="0"/>
          <w:color w:val="auto"/>
          <w:spacing w:val="0"/>
          <w:sz w:val="32"/>
          <w:szCs w:val="32"/>
          <w:shd w:val="clear" w:color="auto" w:fill="FFFFFF"/>
          <w:lang w:eastAsia="zh-CN"/>
        </w:rPr>
        <w:t>（一）主动告知，</w:t>
      </w:r>
      <w:r>
        <w:rPr>
          <w:rFonts w:hint="eastAsia" w:ascii="楷体_GB2312" w:hAnsi="楷体_GB2312" w:eastAsia="楷体_GB2312" w:cs="楷体_GB2312"/>
          <w:b/>
          <w:bCs/>
          <w:i w:val="0"/>
          <w:caps w:val="0"/>
          <w:color w:val="auto"/>
          <w:spacing w:val="0"/>
          <w:sz w:val="32"/>
          <w:szCs w:val="32"/>
          <w:shd w:val="clear" w:color="auto" w:fill="FFFFFF"/>
          <w:lang w:val="en-US" w:eastAsia="zh-CN"/>
        </w:rPr>
        <w:t>指导及时改正。</w:t>
      </w:r>
      <w:r>
        <w:rPr>
          <w:rFonts w:hint="eastAsia" w:ascii="仿宋_GB2312" w:hAnsi="仿宋_GB2312" w:eastAsia="仿宋_GB2312" w:cs="仿宋_GB2312"/>
          <w:i w:val="0"/>
          <w:caps w:val="0"/>
          <w:color w:val="auto"/>
          <w:spacing w:val="0"/>
          <w:sz w:val="32"/>
          <w:szCs w:val="32"/>
          <w:shd w:val="clear" w:color="auto" w:fill="FFFFFF"/>
          <w:lang w:eastAsia="zh-CN"/>
        </w:rPr>
        <w:t>赣州市医疗保障行政部门在行政执法中，认为违法行为属于“</w:t>
      </w:r>
      <w:r>
        <w:rPr>
          <w:rFonts w:hint="eastAsia" w:ascii="仿宋_GB2312" w:hAnsi="仿宋_GB2312" w:eastAsia="仿宋_GB2312" w:cs="仿宋_GB2312"/>
          <w:i w:val="0"/>
          <w:caps w:val="0"/>
          <w:color w:val="auto"/>
          <w:spacing w:val="0"/>
          <w:sz w:val="32"/>
          <w:szCs w:val="32"/>
          <w:shd w:val="clear" w:color="auto" w:fill="FFFFFF"/>
        </w:rPr>
        <w:t>轻微违法</w:t>
      </w:r>
      <w:r>
        <w:rPr>
          <w:rFonts w:hint="eastAsia" w:ascii="仿宋_GB2312" w:hAnsi="仿宋_GB2312" w:eastAsia="仿宋_GB2312" w:cs="仿宋_GB2312"/>
          <w:i w:val="0"/>
          <w:caps w:val="0"/>
          <w:color w:val="auto"/>
          <w:spacing w:val="0"/>
          <w:sz w:val="32"/>
          <w:szCs w:val="32"/>
          <w:shd w:val="clear" w:color="auto" w:fill="FFFFFF"/>
          <w:lang w:val="en-US" w:eastAsia="zh-CN"/>
        </w:rPr>
        <w:t>不罚、初次违法不罚”</w:t>
      </w:r>
      <w:r>
        <w:rPr>
          <w:rFonts w:hint="eastAsia" w:ascii="仿宋_GB2312" w:hAnsi="仿宋_GB2312" w:eastAsia="仿宋_GB2312" w:cs="仿宋_GB2312"/>
          <w:i w:val="0"/>
          <w:caps w:val="0"/>
          <w:color w:val="auto"/>
          <w:spacing w:val="0"/>
          <w:sz w:val="32"/>
          <w:szCs w:val="32"/>
          <w:shd w:val="clear" w:color="auto" w:fill="FFFFFF"/>
          <w:lang w:eastAsia="zh-CN"/>
        </w:rPr>
        <w:t>等情形，且具备适用条件的，应当给予当事人必要指导，主动告知当事人可以适用“轻微违法免罚、初次违法慎罚”的具体要求，引导当事人及时改正，自觉守法。</w:t>
      </w:r>
    </w:p>
    <w:p w14:paraId="232827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楷体_GB2312" w:hAnsi="楷体_GB2312" w:eastAsia="楷体_GB2312" w:cs="楷体_GB2312"/>
          <w:b/>
          <w:bCs/>
          <w:i w:val="0"/>
          <w:caps w:val="0"/>
          <w:color w:val="auto"/>
          <w:spacing w:val="0"/>
          <w:sz w:val="32"/>
          <w:szCs w:val="32"/>
          <w:shd w:val="clear" w:color="auto" w:fill="FFFFFF"/>
          <w:lang w:eastAsia="zh-CN"/>
        </w:rPr>
        <w:t>（二）严格审批，</w:t>
      </w:r>
      <w:r>
        <w:rPr>
          <w:rFonts w:hint="eastAsia" w:ascii="楷体_GB2312" w:hAnsi="楷体_GB2312" w:eastAsia="楷体_GB2312" w:cs="楷体_GB2312"/>
          <w:b/>
          <w:bCs/>
          <w:i w:val="0"/>
          <w:caps w:val="0"/>
          <w:color w:val="auto"/>
          <w:spacing w:val="0"/>
          <w:sz w:val="32"/>
          <w:szCs w:val="32"/>
          <w:shd w:val="clear" w:color="auto" w:fill="FFFFFF"/>
          <w:lang w:val="en-US" w:eastAsia="zh-CN"/>
        </w:rPr>
        <w:t>确保</w:t>
      </w:r>
      <w:r>
        <w:rPr>
          <w:rFonts w:hint="eastAsia" w:ascii="楷体_GB2312" w:hAnsi="楷体_GB2312" w:eastAsia="楷体_GB2312" w:cs="楷体_GB2312"/>
          <w:b/>
          <w:bCs/>
          <w:i w:val="0"/>
          <w:caps w:val="0"/>
          <w:color w:val="auto"/>
          <w:spacing w:val="0"/>
          <w:sz w:val="32"/>
          <w:szCs w:val="32"/>
          <w:shd w:val="clear" w:color="auto" w:fill="FFFFFF"/>
          <w:lang w:eastAsia="zh-CN"/>
        </w:rPr>
        <w:t>全程留痕。</w:t>
      </w:r>
      <w:r>
        <w:rPr>
          <w:rFonts w:hint="eastAsia" w:ascii="仿宋_GB2312" w:hAnsi="仿宋_GB2312" w:eastAsia="仿宋_GB2312" w:cs="仿宋_GB2312"/>
          <w:i w:val="0"/>
          <w:caps w:val="0"/>
          <w:color w:val="auto"/>
          <w:spacing w:val="0"/>
          <w:sz w:val="32"/>
          <w:szCs w:val="32"/>
          <w:shd w:val="clear" w:color="auto" w:fill="FFFFFF"/>
          <w:lang w:eastAsia="zh-CN"/>
        </w:rPr>
        <w:t>赣州市医疗保障行政部门发现当事人违法行为符合适用“</w:t>
      </w:r>
      <w:r>
        <w:rPr>
          <w:rFonts w:hint="eastAsia" w:ascii="仿宋_GB2312" w:hAnsi="仿宋_GB2312" w:eastAsia="仿宋_GB2312" w:cs="仿宋_GB2312"/>
          <w:i w:val="0"/>
          <w:caps w:val="0"/>
          <w:color w:val="auto"/>
          <w:spacing w:val="0"/>
          <w:sz w:val="32"/>
          <w:szCs w:val="32"/>
          <w:shd w:val="clear" w:color="auto" w:fill="FFFFFF"/>
        </w:rPr>
        <w:t>轻微违法</w:t>
      </w:r>
      <w:r>
        <w:rPr>
          <w:rFonts w:hint="eastAsia" w:ascii="仿宋_GB2312" w:hAnsi="仿宋_GB2312" w:eastAsia="仿宋_GB2312" w:cs="仿宋_GB2312"/>
          <w:i w:val="0"/>
          <w:caps w:val="0"/>
          <w:color w:val="auto"/>
          <w:spacing w:val="0"/>
          <w:sz w:val="32"/>
          <w:szCs w:val="32"/>
          <w:shd w:val="clear" w:color="auto" w:fill="FFFFFF"/>
          <w:lang w:val="en-US" w:eastAsia="zh-CN"/>
        </w:rPr>
        <w:t>不罚、初次违法不罚”</w:t>
      </w:r>
      <w:r>
        <w:rPr>
          <w:rFonts w:hint="eastAsia" w:ascii="仿宋_GB2312" w:hAnsi="仿宋_GB2312" w:eastAsia="仿宋_GB2312" w:cs="仿宋_GB2312"/>
          <w:i w:val="0"/>
          <w:caps w:val="0"/>
          <w:color w:val="auto"/>
          <w:spacing w:val="0"/>
          <w:sz w:val="32"/>
          <w:szCs w:val="32"/>
          <w:shd w:val="clear" w:color="auto" w:fill="FFFFFF"/>
          <w:lang w:eastAsia="zh-CN"/>
        </w:rPr>
        <w:t>情形的，应当按照医疗保障行政处罚程序相关规定履行审核程序，已行政立案的作出《不予行政处罚决定书》《责令改正通知书》，未行政立案的作出《责令改正通知书》，同时要求当事人签订《守法诚信承诺书》，确保适用“</w:t>
      </w:r>
      <w:r>
        <w:rPr>
          <w:rFonts w:hint="eastAsia" w:ascii="仿宋_GB2312" w:hAnsi="仿宋_GB2312" w:eastAsia="仿宋_GB2312" w:cs="仿宋_GB2312"/>
          <w:i w:val="0"/>
          <w:caps w:val="0"/>
          <w:color w:val="auto"/>
          <w:spacing w:val="0"/>
          <w:sz w:val="32"/>
          <w:szCs w:val="32"/>
          <w:shd w:val="clear" w:color="auto" w:fill="FFFFFF"/>
        </w:rPr>
        <w:t>轻微违法</w:t>
      </w:r>
      <w:r>
        <w:rPr>
          <w:rFonts w:hint="eastAsia" w:ascii="仿宋_GB2312" w:hAnsi="仿宋_GB2312" w:eastAsia="仿宋_GB2312" w:cs="仿宋_GB2312"/>
          <w:i w:val="0"/>
          <w:caps w:val="0"/>
          <w:color w:val="auto"/>
          <w:spacing w:val="0"/>
          <w:sz w:val="32"/>
          <w:szCs w:val="32"/>
          <w:shd w:val="clear" w:color="auto" w:fill="FFFFFF"/>
          <w:lang w:val="en-US" w:eastAsia="zh-CN"/>
        </w:rPr>
        <w:t>不罚、初次违法不罚”</w:t>
      </w:r>
      <w:r>
        <w:rPr>
          <w:rFonts w:hint="eastAsia" w:ascii="仿宋_GB2312" w:hAnsi="仿宋_GB2312" w:eastAsia="仿宋_GB2312" w:cs="仿宋_GB2312"/>
          <w:i w:val="0"/>
          <w:caps w:val="0"/>
          <w:color w:val="auto"/>
          <w:spacing w:val="0"/>
          <w:sz w:val="32"/>
          <w:szCs w:val="32"/>
          <w:shd w:val="clear" w:color="auto" w:fill="FFFFFF"/>
          <w:lang w:eastAsia="zh-CN"/>
        </w:rPr>
        <w:t>的案件，全程留痕、有据可查，并做好不予行政处罚的过程记录、资料整理及归档等工作。</w:t>
      </w:r>
    </w:p>
    <w:p w14:paraId="683AED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楷体_GB2312" w:hAnsi="楷体_GB2312" w:eastAsia="楷体_GB2312" w:cs="楷体_GB2312"/>
          <w:b/>
          <w:bCs/>
          <w:i w:val="0"/>
          <w:caps w:val="0"/>
          <w:color w:val="auto"/>
          <w:spacing w:val="0"/>
          <w:sz w:val="32"/>
          <w:szCs w:val="32"/>
          <w:shd w:val="clear" w:color="auto" w:fill="FFFFFF"/>
          <w:lang w:eastAsia="zh-CN"/>
        </w:rPr>
        <w:t>（三）积极探索，创新监管方式。</w:t>
      </w:r>
      <w:r>
        <w:rPr>
          <w:rFonts w:hint="eastAsia" w:ascii="仿宋_GB2312" w:hAnsi="仿宋_GB2312" w:eastAsia="仿宋_GB2312" w:cs="仿宋_GB2312"/>
          <w:i w:val="0"/>
          <w:caps w:val="0"/>
          <w:color w:val="auto"/>
          <w:spacing w:val="0"/>
          <w:sz w:val="32"/>
          <w:szCs w:val="32"/>
          <w:shd w:val="clear" w:color="auto" w:fill="FFFFFF"/>
          <w:lang w:eastAsia="zh-CN"/>
        </w:rPr>
        <w:t>赣州市医疗保障行政部门对于适用“</w:t>
      </w:r>
      <w:r>
        <w:rPr>
          <w:rFonts w:hint="eastAsia" w:ascii="仿宋_GB2312" w:hAnsi="仿宋_GB2312" w:eastAsia="仿宋_GB2312" w:cs="仿宋_GB2312"/>
          <w:i w:val="0"/>
          <w:caps w:val="0"/>
          <w:color w:val="auto"/>
          <w:spacing w:val="0"/>
          <w:sz w:val="32"/>
          <w:szCs w:val="32"/>
          <w:shd w:val="clear" w:color="auto" w:fill="FFFFFF"/>
        </w:rPr>
        <w:t>轻微违法</w:t>
      </w:r>
      <w:r>
        <w:rPr>
          <w:rFonts w:hint="eastAsia" w:ascii="仿宋_GB2312" w:hAnsi="仿宋_GB2312" w:eastAsia="仿宋_GB2312" w:cs="仿宋_GB2312"/>
          <w:i w:val="0"/>
          <w:caps w:val="0"/>
          <w:color w:val="auto"/>
          <w:spacing w:val="0"/>
          <w:sz w:val="32"/>
          <w:szCs w:val="32"/>
          <w:shd w:val="clear" w:color="auto" w:fill="FFFFFF"/>
          <w:lang w:val="en-US" w:eastAsia="zh-CN"/>
        </w:rPr>
        <w:t>不罚、初次违法不罚”</w:t>
      </w:r>
      <w:r>
        <w:rPr>
          <w:rFonts w:hint="eastAsia" w:ascii="仿宋_GB2312" w:hAnsi="仿宋_GB2312" w:eastAsia="仿宋_GB2312" w:cs="仿宋_GB2312"/>
          <w:i w:val="0"/>
          <w:caps w:val="0"/>
          <w:color w:val="auto"/>
          <w:spacing w:val="0"/>
          <w:sz w:val="32"/>
          <w:szCs w:val="32"/>
          <w:shd w:val="clear" w:color="auto" w:fill="FFFFFF"/>
          <w:lang w:eastAsia="zh-CN"/>
        </w:rPr>
        <w:t>的案件，应当对当事人进行教育引导，并做好相关教育资料的留存归档，使当事人增强法律意识、自觉学法守法。</w:t>
      </w:r>
    </w:p>
    <w:p w14:paraId="1F5550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lang w:eastAsia="zh-CN"/>
        </w:rPr>
        <w:t>四</w:t>
      </w:r>
      <w:r>
        <w:rPr>
          <w:rFonts w:hint="eastAsia" w:ascii="黑体" w:hAnsi="黑体" w:eastAsia="黑体" w:cs="黑体"/>
          <w:i w:val="0"/>
          <w:caps w:val="0"/>
          <w:color w:val="auto"/>
          <w:spacing w:val="0"/>
          <w:sz w:val="32"/>
          <w:szCs w:val="32"/>
          <w:shd w:val="clear" w:color="auto" w:fill="FFFFFF"/>
        </w:rPr>
        <w:t>、其他应注意的问题</w:t>
      </w:r>
    </w:p>
    <w:p w14:paraId="6891B8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仿宋_GB2312" w:hAnsi="仿宋_GB2312" w:eastAsia="仿宋_GB2312" w:cs="仿宋_GB2312"/>
          <w:b w:val="0"/>
          <w:bCs w:val="0"/>
          <w:i w:val="0"/>
          <w:caps w:val="0"/>
          <w:color w:val="auto"/>
          <w:spacing w:val="0"/>
          <w:sz w:val="32"/>
          <w:szCs w:val="32"/>
          <w:shd w:val="clear" w:color="auto" w:fill="FFFFFF"/>
        </w:rPr>
        <w:t>（一）《包容免罚清单》可以作为行政处罚裁量的内容，不得作为行政处罚的法律依据。</w:t>
      </w:r>
    </w:p>
    <w:p w14:paraId="75B36C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仿宋_GB2312" w:hAnsi="仿宋_GB2312" w:eastAsia="仿宋_GB2312" w:cs="仿宋_GB2312"/>
          <w:b w:val="0"/>
          <w:bCs w:val="0"/>
          <w:i w:val="0"/>
          <w:caps w:val="0"/>
          <w:color w:val="auto"/>
          <w:spacing w:val="0"/>
          <w:sz w:val="32"/>
          <w:szCs w:val="32"/>
          <w:shd w:val="clear" w:color="auto" w:fill="FFFFFF"/>
        </w:rPr>
        <w:t>（二）</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轻微违法</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不罚、初次违法不罚”</w:t>
      </w:r>
      <w:r>
        <w:rPr>
          <w:rFonts w:hint="eastAsia" w:ascii="仿宋_GB2312" w:hAnsi="仿宋_GB2312" w:eastAsia="仿宋_GB2312" w:cs="仿宋_GB2312"/>
          <w:b w:val="0"/>
          <w:bCs w:val="0"/>
          <w:i w:val="0"/>
          <w:caps w:val="0"/>
          <w:color w:val="auto"/>
          <w:spacing w:val="0"/>
          <w:sz w:val="32"/>
          <w:szCs w:val="32"/>
          <w:shd w:val="clear" w:color="auto" w:fill="FFFFFF"/>
        </w:rPr>
        <w:t>并未改变违法行为的违法属性，当事人仍负有停止、改正违法行为，消除社会危害性的义务。当事人拒不改正、逾期不改正或者改正后仍不符合要求的，应当依法予以相应行政处罚。</w:t>
      </w:r>
    </w:p>
    <w:p w14:paraId="0FD37C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eastAsia="zh-CN"/>
        </w:rPr>
        <w:t>（三）本通知所称以上、以下，包括本数。</w:t>
      </w:r>
    </w:p>
    <w:p w14:paraId="084176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本通知自</w:t>
      </w:r>
      <w:r>
        <w:rPr>
          <w:rFonts w:hint="eastAsia" w:ascii="仿宋_GB2312" w:hAnsi="仿宋_GB2312" w:eastAsia="仿宋_GB2312" w:cs="仿宋_GB2312"/>
          <w:i w:val="0"/>
          <w:caps w:val="0"/>
          <w:color w:val="auto"/>
          <w:spacing w:val="0"/>
          <w:sz w:val="32"/>
          <w:szCs w:val="32"/>
          <w:shd w:val="clear" w:color="auto" w:fill="FFFFFF"/>
          <w:lang w:eastAsia="zh-CN"/>
        </w:rPr>
        <w:t>印发之</w:t>
      </w:r>
      <w:r>
        <w:rPr>
          <w:rFonts w:hint="eastAsia" w:ascii="仿宋_GB2312" w:hAnsi="仿宋_GB2312" w:eastAsia="仿宋_GB2312" w:cs="仿宋_GB2312"/>
          <w:i w:val="0"/>
          <w:caps w:val="0"/>
          <w:color w:val="auto"/>
          <w:spacing w:val="0"/>
          <w:sz w:val="32"/>
          <w:szCs w:val="32"/>
          <w:shd w:val="clear" w:color="auto" w:fill="FFFFFF"/>
        </w:rPr>
        <w:t>日起施行。</w:t>
      </w:r>
    </w:p>
    <w:p w14:paraId="2F535C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14:paraId="0DD0ED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附件：</w:t>
      </w:r>
      <w:r>
        <w:rPr>
          <w:rFonts w:hint="eastAsia" w:ascii="仿宋_GB2312" w:hAnsi="仿宋_GB2312" w:eastAsia="仿宋_GB2312" w:cs="仿宋_GB2312"/>
          <w:i w:val="0"/>
          <w:caps w:val="0"/>
          <w:color w:val="auto"/>
          <w:spacing w:val="0"/>
          <w:sz w:val="32"/>
          <w:szCs w:val="32"/>
          <w:shd w:val="clear" w:color="auto" w:fill="FFFFFF"/>
          <w:lang w:val="en-US" w:eastAsia="zh-CN"/>
        </w:rPr>
        <w:t>1.医疗保障</w:t>
      </w:r>
      <w:r>
        <w:rPr>
          <w:rFonts w:hint="eastAsia" w:ascii="仿宋_GB2312" w:hAnsi="仿宋_GB2312" w:eastAsia="仿宋_GB2312" w:cs="仿宋_GB2312"/>
          <w:i w:val="0"/>
          <w:caps w:val="0"/>
          <w:color w:val="auto"/>
          <w:spacing w:val="0"/>
          <w:sz w:val="32"/>
          <w:szCs w:val="32"/>
          <w:shd w:val="clear" w:color="auto" w:fill="FFFFFF"/>
        </w:rPr>
        <w:t>领域</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轻微违法</w:t>
      </w:r>
      <w:r>
        <w:rPr>
          <w:rFonts w:hint="eastAsia" w:ascii="仿宋_GB2312" w:hAnsi="仿宋_GB2312" w:eastAsia="仿宋_GB2312" w:cs="仿宋_GB2312"/>
          <w:i w:val="0"/>
          <w:caps w:val="0"/>
          <w:color w:val="auto"/>
          <w:spacing w:val="0"/>
          <w:sz w:val="32"/>
          <w:szCs w:val="32"/>
          <w:shd w:val="clear" w:color="auto" w:fill="FFFFFF"/>
          <w:lang w:val="en-US" w:eastAsia="zh-CN"/>
        </w:rPr>
        <w:t>不罚</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清单</w:t>
      </w:r>
    </w:p>
    <w:p w14:paraId="74625A8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600" w:leftChars="0" w:right="0" w:rightChars="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2.医疗保障</w:t>
      </w:r>
      <w:r>
        <w:rPr>
          <w:rFonts w:hint="eastAsia" w:ascii="仿宋_GB2312" w:hAnsi="仿宋_GB2312" w:eastAsia="仿宋_GB2312" w:cs="仿宋_GB2312"/>
          <w:i w:val="0"/>
          <w:caps w:val="0"/>
          <w:color w:val="auto"/>
          <w:spacing w:val="0"/>
          <w:sz w:val="32"/>
          <w:szCs w:val="32"/>
          <w:shd w:val="clear" w:color="auto" w:fill="FFFFFF"/>
        </w:rPr>
        <w:t>领域</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初次违法不罚”</w:t>
      </w:r>
      <w:r>
        <w:rPr>
          <w:rFonts w:hint="eastAsia" w:ascii="仿宋_GB2312" w:hAnsi="仿宋_GB2312" w:eastAsia="仿宋_GB2312" w:cs="仿宋_GB2312"/>
          <w:i w:val="0"/>
          <w:caps w:val="0"/>
          <w:color w:val="auto"/>
          <w:spacing w:val="0"/>
          <w:sz w:val="32"/>
          <w:szCs w:val="32"/>
          <w:shd w:val="clear" w:color="auto" w:fill="FFFFFF"/>
        </w:rPr>
        <w:t>清单</w:t>
      </w:r>
    </w:p>
    <w:p w14:paraId="7262E56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600" w:leftChars="0" w:right="0" w:rightChars="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3.</w:t>
      </w:r>
      <w:bookmarkStart w:id="0" w:name="_Toc466172934_WPSOffice_Level1"/>
      <w:r>
        <w:rPr>
          <w:rFonts w:hint="eastAsia" w:ascii="仿宋_GB2312" w:hAnsi="仿宋_GB2312" w:eastAsia="仿宋_GB2312" w:cs="仿宋_GB2312"/>
          <w:i w:val="0"/>
          <w:caps w:val="0"/>
          <w:color w:val="auto"/>
          <w:spacing w:val="0"/>
          <w:sz w:val="32"/>
          <w:szCs w:val="32"/>
          <w:shd w:val="clear" w:color="auto" w:fill="FFFFFF"/>
          <w:lang w:val="en-US" w:eastAsia="zh-CN"/>
        </w:rPr>
        <w:t>守法诚信承诺书</w:t>
      </w:r>
      <w:bookmarkEnd w:id="0"/>
    </w:p>
    <w:p w14:paraId="13084BB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600" w:leftChars="0" w:right="0" w:rightChars="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p>
    <w:p w14:paraId="7DBD47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p>
    <w:p w14:paraId="3CF692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p w14:paraId="352A4F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440" w:firstLineChars="17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赣州市医疗保障局</w:t>
      </w:r>
    </w:p>
    <w:p w14:paraId="09AC4D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2025年5月  日</w:t>
      </w:r>
    </w:p>
    <w:p w14:paraId="666C5625">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color w:val="000000"/>
          <w:sz w:val="32"/>
          <w:szCs w:val="32"/>
          <w:lang w:val="en-US" w:eastAsia="zh-CN"/>
        </w:rPr>
      </w:pPr>
    </w:p>
    <w:p w14:paraId="15799D6F">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color w:val="000000"/>
          <w:sz w:val="32"/>
          <w:szCs w:val="32"/>
          <w:lang w:val="en-US" w:eastAsia="zh-CN"/>
        </w:rPr>
      </w:pPr>
    </w:p>
    <w:p w14:paraId="352D0C8E">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color w:val="000000"/>
          <w:sz w:val="32"/>
          <w:szCs w:val="32"/>
          <w:lang w:val="en-US" w:eastAsia="zh-CN"/>
        </w:rPr>
      </w:pPr>
    </w:p>
    <w:p w14:paraId="7A267212">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color w:val="000000"/>
          <w:sz w:val="32"/>
          <w:szCs w:val="32"/>
          <w:lang w:val="en-US" w:eastAsia="zh-CN"/>
        </w:rPr>
      </w:pPr>
    </w:p>
    <w:p w14:paraId="74FF37C7">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color w:val="000000"/>
          <w:sz w:val="32"/>
          <w:szCs w:val="32"/>
          <w:lang w:val="en-US" w:eastAsia="zh-CN"/>
        </w:rPr>
      </w:pPr>
    </w:p>
    <w:p w14:paraId="08ECBC53">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color w:val="000000"/>
          <w:sz w:val="32"/>
          <w:szCs w:val="32"/>
          <w:lang w:val="en-US" w:eastAsia="zh-CN"/>
        </w:rPr>
      </w:pPr>
    </w:p>
    <w:p w14:paraId="08826E42">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color w:val="000000"/>
          <w:sz w:val="32"/>
          <w:szCs w:val="32"/>
          <w:lang w:val="en-US" w:eastAsia="zh-CN"/>
        </w:rPr>
      </w:pPr>
    </w:p>
    <w:p w14:paraId="0416ADB5">
      <w:pPr>
        <w:pStyle w:val="2"/>
        <w:rPr>
          <w:rFonts w:hint="eastAsia" w:ascii="黑体" w:hAnsi="黑体" w:eastAsia="黑体" w:cs="黑体"/>
          <w:color w:val="000000"/>
          <w:sz w:val="32"/>
          <w:szCs w:val="32"/>
          <w:lang w:val="en-US" w:eastAsia="zh-CN"/>
        </w:rPr>
      </w:pPr>
    </w:p>
    <w:p w14:paraId="35C0FEED">
      <w:pPr>
        <w:pStyle w:val="2"/>
        <w:rPr>
          <w:rFonts w:hint="eastAsia" w:ascii="黑体" w:hAnsi="黑体" w:eastAsia="黑体" w:cs="黑体"/>
          <w:color w:val="000000"/>
          <w:sz w:val="32"/>
          <w:szCs w:val="32"/>
          <w:lang w:val="en-US" w:eastAsia="zh-CN"/>
        </w:rPr>
      </w:pPr>
    </w:p>
    <w:p w14:paraId="41131256">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lang w:val="en-US" w:eastAsia="zh-CN"/>
        </w:rPr>
      </w:pPr>
      <w:r>
        <w:rPr>
          <w:rFonts w:hint="eastAsia" w:ascii="黑体" w:hAnsi="黑体" w:eastAsia="黑体" w:cs="黑体"/>
          <w:color w:val="000000"/>
          <w:sz w:val="32"/>
          <w:szCs w:val="32"/>
          <w:lang w:val="en-US" w:eastAsia="zh-CN"/>
        </w:rPr>
        <w:t>附件</w:t>
      </w:r>
      <w:r>
        <w:rPr>
          <w:rFonts w:hint="eastAsia" w:ascii="黑体" w:hAnsi="黑体" w:eastAsia="黑体" w:cs="黑体"/>
          <w:sz w:val="32"/>
          <w:szCs w:val="32"/>
          <w:lang w:val="en-US" w:eastAsia="zh-CN"/>
        </w:rPr>
        <w:t>1</w:t>
      </w:r>
    </w:p>
    <w:p w14:paraId="6C7C8565">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医疗保障</w:t>
      </w:r>
      <w:r>
        <w:rPr>
          <w:rFonts w:hint="eastAsia" w:ascii="方正小标宋简体" w:hAnsi="方正小标宋简体" w:eastAsia="方正小标宋简体" w:cs="方正小标宋简体"/>
          <w:color w:val="000000"/>
          <w:sz w:val="36"/>
          <w:szCs w:val="36"/>
        </w:rPr>
        <w:t>领域</w:t>
      </w:r>
      <w:r>
        <w:rPr>
          <w:rFonts w:hint="eastAsia" w:ascii="方正小标宋简体" w:hAnsi="方正小标宋简体" w:eastAsia="方正小标宋简体" w:cs="方正小标宋简体"/>
          <w:color w:val="000000"/>
          <w:sz w:val="36"/>
          <w:szCs w:val="36"/>
          <w:lang w:val="en-US" w:eastAsia="zh-CN"/>
        </w:rPr>
        <w:t>“轻微违法不罚</w:t>
      </w:r>
      <w:r>
        <w:rPr>
          <w:rFonts w:hint="default" w:ascii="方正小标宋简体" w:hAnsi="方正小标宋简体" w:eastAsia="方正小标宋简体" w:cs="方正小标宋简体"/>
          <w:color w:val="000000"/>
          <w:sz w:val="36"/>
          <w:szCs w:val="36"/>
          <w:lang w:val="en-US" w:eastAsia="zh-CN"/>
        </w:rPr>
        <w:t>”</w:t>
      </w:r>
      <w:r>
        <w:rPr>
          <w:rFonts w:hint="eastAsia" w:ascii="方正小标宋简体" w:hAnsi="方正小标宋简体" w:eastAsia="方正小标宋简体" w:cs="方正小标宋简体"/>
          <w:color w:val="000000"/>
          <w:sz w:val="36"/>
          <w:szCs w:val="36"/>
        </w:rPr>
        <w:t>清单</w:t>
      </w:r>
    </w:p>
    <w:p w14:paraId="1422CA35">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000000"/>
          <w:sz w:val="36"/>
          <w:szCs w:val="36"/>
        </w:rPr>
      </w:pP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48"/>
        <w:gridCol w:w="4044"/>
        <w:gridCol w:w="2255"/>
        <w:gridCol w:w="1399"/>
      </w:tblGrid>
      <w:tr w14:paraId="117DC1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0"/>
            <w:tcMar>
              <w:left w:w="70" w:type="dxa"/>
              <w:right w:w="70" w:type="dxa"/>
            </w:tcMar>
            <w:vAlign w:val="center"/>
          </w:tcPr>
          <w:p w14:paraId="28A0B261">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4044" w:type="dxa"/>
            <w:tcBorders>
              <w:top w:val="single" w:color="000000" w:sz="4" w:space="0"/>
              <w:left w:val="nil"/>
              <w:bottom w:val="single" w:color="000000" w:sz="4" w:space="0"/>
              <w:right w:val="single" w:color="000000" w:sz="4" w:space="0"/>
            </w:tcBorders>
            <w:shd w:val="clear" w:color="auto" w:fill="FFFFFF"/>
            <w:noWrap w:val="0"/>
            <w:tcMar>
              <w:left w:w="70" w:type="dxa"/>
              <w:right w:w="70" w:type="dxa"/>
            </w:tcMar>
            <w:vAlign w:val="center"/>
          </w:tcPr>
          <w:p w14:paraId="34C7AB02">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违法行为</w:t>
            </w:r>
          </w:p>
        </w:tc>
        <w:tc>
          <w:tcPr>
            <w:tcW w:w="2255" w:type="dxa"/>
            <w:tcBorders>
              <w:top w:val="single" w:color="000000" w:sz="4" w:space="0"/>
              <w:left w:val="nil"/>
              <w:bottom w:val="single" w:color="000000" w:sz="4" w:space="0"/>
              <w:right w:val="single" w:color="000000" w:sz="4" w:space="0"/>
            </w:tcBorders>
            <w:shd w:val="clear" w:color="auto" w:fill="FFFFFF"/>
            <w:noWrap w:val="0"/>
            <w:tcMar>
              <w:left w:w="70" w:type="dxa"/>
              <w:right w:w="70" w:type="dxa"/>
            </w:tcMar>
            <w:vAlign w:val="center"/>
          </w:tcPr>
          <w:p w14:paraId="3F829F14">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lang w:eastAsia="zh-CN"/>
              </w:rPr>
              <w:t>适用</w:t>
            </w:r>
            <w:r>
              <w:rPr>
                <w:rFonts w:hint="eastAsia" w:ascii="黑体" w:hAnsi="黑体" w:eastAsia="黑体" w:cs="黑体"/>
                <w:color w:val="000000"/>
                <w:sz w:val="28"/>
                <w:szCs w:val="28"/>
              </w:rPr>
              <w:t>条件</w:t>
            </w:r>
          </w:p>
        </w:tc>
        <w:tc>
          <w:tcPr>
            <w:tcW w:w="1399" w:type="dxa"/>
            <w:tcBorders>
              <w:top w:val="single" w:color="000000" w:sz="4" w:space="0"/>
              <w:left w:val="nil"/>
              <w:bottom w:val="single" w:color="000000" w:sz="4" w:space="0"/>
              <w:right w:val="single" w:color="000000" w:sz="4" w:space="0"/>
            </w:tcBorders>
            <w:shd w:val="clear" w:color="auto" w:fill="FFFFFF"/>
            <w:noWrap w:val="0"/>
            <w:tcMar>
              <w:left w:w="70" w:type="dxa"/>
              <w:right w:w="70" w:type="dxa"/>
            </w:tcMar>
            <w:vAlign w:val="center"/>
          </w:tcPr>
          <w:p w14:paraId="0C53CA23">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法律依据</w:t>
            </w:r>
          </w:p>
        </w:tc>
      </w:tr>
      <w:tr w14:paraId="08DC8C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66" w:hRule="exact"/>
          <w:jc w:val="center"/>
        </w:trPr>
        <w:tc>
          <w:tcPr>
            <w:tcW w:w="748" w:type="dxa"/>
            <w:tcBorders>
              <w:top w:val="nil"/>
              <w:left w:val="single" w:color="000000" w:sz="4" w:space="0"/>
              <w:bottom w:val="single" w:color="000000" w:sz="4" w:space="0"/>
              <w:right w:val="single" w:color="000000" w:sz="4" w:space="0"/>
            </w:tcBorders>
            <w:shd w:val="clear" w:color="auto" w:fill="FFFFFF"/>
            <w:noWrap w:val="0"/>
            <w:tcMar>
              <w:left w:w="70" w:type="dxa"/>
              <w:right w:w="70" w:type="dxa"/>
            </w:tcMar>
            <w:vAlign w:val="center"/>
          </w:tcPr>
          <w:p w14:paraId="06D423B9">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eastAsia="宋体"/>
                <w:color w:val="000000"/>
                <w:lang w:val="en-US" w:eastAsia="zh-CN"/>
              </w:rPr>
            </w:pPr>
            <w:r>
              <w:rPr>
                <w:rFonts w:hint="eastAsia"/>
                <w:color w:val="000000"/>
                <w:lang w:val="en-US" w:eastAsia="zh-CN"/>
              </w:rPr>
              <w:t>1</w:t>
            </w:r>
          </w:p>
        </w:tc>
        <w:tc>
          <w:tcPr>
            <w:tcW w:w="4044" w:type="dxa"/>
            <w:tcBorders>
              <w:top w:val="nil"/>
              <w:left w:val="nil"/>
              <w:bottom w:val="single" w:color="000000" w:sz="4" w:space="0"/>
              <w:right w:val="single" w:color="000000" w:sz="4" w:space="0"/>
            </w:tcBorders>
            <w:shd w:val="clear" w:color="auto" w:fill="FFFFFF"/>
            <w:noWrap w:val="0"/>
            <w:tcMar>
              <w:left w:w="70" w:type="dxa"/>
              <w:right w:w="70" w:type="dxa"/>
            </w:tcMar>
            <w:vAlign w:val="center"/>
          </w:tcPr>
          <w:p w14:paraId="0703ABBD">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000000"/>
              </w:rPr>
            </w:pPr>
            <w:r>
              <w:rPr>
                <w:rFonts w:hint="eastAsia"/>
              </w:rPr>
              <w:t>（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保基金支付范围的医药费用纳入医保基金结算；（七）造成医保基金损失的其他违法行为。</w:t>
            </w:r>
          </w:p>
        </w:tc>
        <w:tc>
          <w:tcPr>
            <w:tcW w:w="2255" w:type="dxa"/>
            <w:tcBorders>
              <w:top w:val="nil"/>
              <w:left w:val="nil"/>
              <w:bottom w:val="single" w:color="000000" w:sz="4" w:space="0"/>
              <w:right w:val="single" w:color="000000" w:sz="4" w:space="0"/>
            </w:tcBorders>
            <w:shd w:val="clear" w:color="auto" w:fill="FFFFFF"/>
            <w:noWrap w:val="0"/>
            <w:tcMar>
              <w:left w:w="70" w:type="dxa"/>
              <w:right w:w="70" w:type="dxa"/>
            </w:tcMar>
            <w:vAlign w:val="center"/>
          </w:tcPr>
          <w:p w14:paraId="1EAEE62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000000"/>
              </w:rPr>
            </w:pPr>
            <w:r>
              <w:rPr>
                <w:rFonts w:hint="eastAsia"/>
                <w:color w:val="000000"/>
                <w:lang w:val="en-US" w:eastAsia="zh-CN"/>
              </w:rPr>
              <w:t>1.</w:t>
            </w:r>
            <w:r>
              <w:rPr>
                <w:rFonts w:hint="eastAsia"/>
                <w:color w:val="000000"/>
                <w:lang w:eastAsia="zh-CN"/>
              </w:rPr>
              <w:t>赣州市医疗保障行政部门开展现场检查前，</w:t>
            </w:r>
            <w:r>
              <w:rPr>
                <w:rFonts w:hint="eastAsia"/>
                <w:color w:val="000000"/>
              </w:rPr>
              <w:t>定点医药机构主动自查自纠发现并及时退回</w:t>
            </w:r>
            <w:r>
              <w:rPr>
                <w:rFonts w:hint="eastAsia"/>
                <w:color w:val="000000"/>
                <w:lang w:eastAsia="zh-CN"/>
              </w:rPr>
              <w:t>医疗保障基金</w:t>
            </w:r>
            <w:r>
              <w:rPr>
                <w:rFonts w:hint="eastAsia"/>
                <w:color w:val="000000"/>
              </w:rPr>
              <w:t>的。</w:t>
            </w:r>
          </w:p>
          <w:p w14:paraId="111C7BF3">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000000"/>
              </w:rPr>
            </w:pPr>
            <w:r>
              <w:rPr>
                <w:rFonts w:hint="eastAsia"/>
                <w:color w:val="000000"/>
              </w:rPr>
              <w:t>2.在行政检查中发现的违规行为，同时满足以下情形的，约谈有关负责人：①首次出现；②属于个别人或个别部门行为；③造成医保基金损失</w:t>
            </w:r>
            <w:r>
              <w:rPr>
                <w:rFonts w:hint="eastAsia"/>
                <w:color w:val="000000"/>
                <w:lang w:val="en-US" w:eastAsia="zh-CN"/>
              </w:rPr>
              <w:t>5</w:t>
            </w:r>
            <w:r>
              <w:rPr>
                <w:rFonts w:hint="eastAsia"/>
                <w:color w:val="000000"/>
              </w:rPr>
              <w:t>000元</w:t>
            </w:r>
            <w:r>
              <w:rPr>
                <w:rFonts w:hint="eastAsia"/>
                <w:color w:val="000000"/>
                <w:lang w:val="en-US" w:eastAsia="zh-CN"/>
              </w:rPr>
              <w:t>以下或者不超过该定点医药机构上年度医疗保障基金支付总额的0.05</w:t>
            </w:r>
            <w:r>
              <w:rPr>
                <w:rFonts w:hint="default"/>
                <w:color w:val="000000"/>
                <w:lang w:val="en-US" w:eastAsia="zh-CN"/>
              </w:rPr>
              <w:t>％</w:t>
            </w:r>
            <w:r>
              <w:rPr>
                <w:rFonts w:hint="eastAsia"/>
                <w:color w:val="000000"/>
                <w:lang w:val="en-US" w:eastAsia="zh-CN"/>
              </w:rPr>
              <w:t>以下</w:t>
            </w:r>
            <w:r>
              <w:rPr>
                <w:rFonts w:hint="eastAsia"/>
                <w:color w:val="000000"/>
              </w:rPr>
              <w:t>；④未发现以骗取医保基金为目的；⑤及时退回。</w:t>
            </w:r>
          </w:p>
        </w:tc>
        <w:tc>
          <w:tcPr>
            <w:tcW w:w="1399" w:type="dxa"/>
            <w:tcBorders>
              <w:top w:val="nil"/>
              <w:left w:val="nil"/>
              <w:bottom w:val="nil"/>
              <w:right w:val="single" w:color="000000" w:sz="4" w:space="0"/>
            </w:tcBorders>
            <w:shd w:val="clear" w:color="auto" w:fill="FFFFFF"/>
            <w:noWrap w:val="0"/>
            <w:tcMar>
              <w:left w:w="70" w:type="dxa"/>
              <w:right w:w="70" w:type="dxa"/>
            </w:tcMar>
            <w:vAlign w:val="center"/>
          </w:tcPr>
          <w:p w14:paraId="10184A1D">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default" w:eastAsia="宋体"/>
                <w:color w:val="000000"/>
                <w:lang w:val="en-US" w:eastAsia="zh-CN"/>
              </w:rPr>
            </w:pPr>
            <w:r>
              <w:rPr>
                <w:rFonts w:hint="eastAsia"/>
                <w:color w:val="000000"/>
                <w:lang w:val="en-US" w:eastAsia="zh-CN"/>
              </w:rPr>
              <w:t>1.《行政处罚法》第三十三条第一款2.</w:t>
            </w:r>
            <w:r>
              <w:rPr>
                <w:rFonts w:hint="eastAsia"/>
                <w:color w:val="000000"/>
              </w:rPr>
              <w:t>《医疗保障基金使用监督管理条例》</w:t>
            </w:r>
            <w:r>
              <w:rPr>
                <w:rFonts w:hint="eastAsia"/>
                <w:color w:val="000000"/>
                <w:lang w:eastAsia="zh-CN"/>
              </w:rPr>
              <w:t>第十五条、第十九条第二款、第三十八条。</w:t>
            </w:r>
          </w:p>
        </w:tc>
      </w:tr>
      <w:tr w14:paraId="0C1243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81" w:hRule="exact"/>
          <w:jc w:val="center"/>
        </w:trPr>
        <w:tc>
          <w:tcPr>
            <w:tcW w:w="748"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283A7863">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eastAsia="宋体"/>
                <w:color w:val="000000"/>
                <w:lang w:val="en-US" w:eastAsia="zh-CN"/>
              </w:rPr>
            </w:pPr>
            <w:r>
              <w:rPr>
                <w:rFonts w:hint="eastAsia"/>
                <w:lang w:val="en-US" w:eastAsia="zh-CN"/>
              </w:rPr>
              <w:t>2</w:t>
            </w:r>
          </w:p>
        </w:tc>
        <w:tc>
          <w:tcPr>
            <w:tcW w:w="4044"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7215313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000000"/>
              </w:rPr>
            </w:pPr>
            <w:r>
              <w:rPr>
                <w:rFonts w:hint="eastAsia"/>
                <w:color w:val="000000"/>
              </w:rPr>
              <w:t>（一）将本人的医疗保障凭证交由他人冒名使用;（二）重复享受医疗保障待遇;（三）利用享受医疗保障待遇的机会转卖药品，接受返还现金、实物或者获得其他非法利益。</w:t>
            </w:r>
          </w:p>
        </w:tc>
        <w:tc>
          <w:tcPr>
            <w:tcW w:w="2255"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315A786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000000"/>
              </w:rPr>
            </w:pPr>
            <w:r>
              <w:rPr>
                <w:rFonts w:hint="eastAsia"/>
                <w:color w:val="000000"/>
              </w:rPr>
              <w:t>所使用的违法医保基金均由医保个人账户支付并及时改正的。</w:t>
            </w:r>
          </w:p>
        </w:tc>
        <w:tc>
          <w:tcPr>
            <w:tcW w:w="1399"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50AAF8A0">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000000"/>
              </w:rPr>
            </w:pPr>
            <w:r>
              <w:rPr>
                <w:rFonts w:hint="eastAsia"/>
                <w:color w:val="000000"/>
                <w:lang w:val="en-US" w:eastAsia="zh-CN"/>
              </w:rPr>
              <w:t>1.《行政处罚法》第三十三条第一款2.</w:t>
            </w:r>
            <w:r>
              <w:rPr>
                <w:rFonts w:hint="eastAsia"/>
                <w:color w:val="000000"/>
              </w:rPr>
              <w:t>《医疗保障基金使用监督管理条例》</w:t>
            </w:r>
            <w:r>
              <w:rPr>
                <w:rFonts w:hint="eastAsia"/>
                <w:color w:val="000000"/>
                <w:lang w:eastAsia="zh-CN"/>
              </w:rPr>
              <w:t>第四十一条第一款</w:t>
            </w:r>
          </w:p>
        </w:tc>
      </w:tr>
    </w:tbl>
    <w:p w14:paraId="392FEC9B">
      <w:pPr>
        <w:keepNext w:val="0"/>
        <w:keepLines w:val="0"/>
        <w:pageBreakBefore w:val="0"/>
        <w:kinsoku/>
        <w:wordWrap/>
        <w:overflowPunct/>
        <w:topLinePunct w:val="0"/>
        <w:autoSpaceDE/>
        <w:autoSpaceDN/>
        <w:bidi w:val="0"/>
        <w:adjustRightInd/>
        <w:snapToGrid/>
        <w:spacing w:line="560" w:lineRule="exact"/>
        <w:ind w:right="0" w:rightChars="0"/>
        <w:textAlignment w:val="auto"/>
      </w:pPr>
    </w:p>
    <w:p w14:paraId="4C7C7E4B">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0C3BC344">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医疗保障</w:t>
      </w:r>
      <w:r>
        <w:rPr>
          <w:rFonts w:hint="eastAsia" w:ascii="方正小标宋简体" w:hAnsi="方正小标宋简体" w:eastAsia="方正小标宋简体" w:cs="方正小标宋简体"/>
          <w:color w:val="000000"/>
          <w:sz w:val="36"/>
          <w:szCs w:val="36"/>
        </w:rPr>
        <w:t>领域</w:t>
      </w:r>
      <w:r>
        <w:rPr>
          <w:rFonts w:hint="eastAsia" w:ascii="方正小标宋简体" w:hAnsi="方正小标宋简体" w:eastAsia="方正小标宋简体" w:cs="方正小标宋简体"/>
          <w:color w:val="000000"/>
          <w:sz w:val="36"/>
          <w:szCs w:val="36"/>
          <w:lang w:val="en-US" w:eastAsia="zh-CN"/>
        </w:rPr>
        <w:t>“初次违法不罚”</w:t>
      </w:r>
      <w:r>
        <w:rPr>
          <w:rFonts w:hint="eastAsia" w:ascii="方正小标宋简体" w:hAnsi="方正小标宋简体" w:eastAsia="方正小标宋简体" w:cs="方正小标宋简体"/>
          <w:color w:val="000000"/>
          <w:sz w:val="36"/>
          <w:szCs w:val="36"/>
        </w:rPr>
        <w:t>清单</w:t>
      </w:r>
    </w:p>
    <w:p w14:paraId="2C484561">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000000"/>
          <w:sz w:val="36"/>
          <w:szCs w:val="36"/>
        </w:rPr>
      </w:pP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48"/>
        <w:gridCol w:w="3213"/>
        <w:gridCol w:w="2643"/>
        <w:gridCol w:w="1842"/>
      </w:tblGrid>
      <w:tr w14:paraId="45E337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0"/>
            <w:tcMar>
              <w:left w:w="70" w:type="dxa"/>
              <w:right w:w="70" w:type="dxa"/>
            </w:tcMar>
            <w:vAlign w:val="center"/>
          </w:tcPr>
          <w:p w14:paraId="48E14A68">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3213" w:type="dxa"/>
            <w:tcBorders>
              <w:top w:val="single" w:color="000000" w:sz="4" w:space="0"/>
              <w:left w:val="nil"/>
              <w:bottom w:val="single" w:color="000000" w:sz="4" w:space="0"/>
              <w:right w:val="single" w:color="000000" w:sz="4" w:space="0"/>
            </w:tcBorders>
            <w:shd w:val="clear" w:color="auto" w:fill="FFFFFF"/>
            <w:noWrap w:val="0"/>
            <w:tcMar>
              <w:left w:w="70" w:type="dxa"/>
              <w:right w:w="70" w:type="dxa"/>
            </w:tcMar>
            <w:vAlign w:val="center"/>
          </w:tcPr>
          <w:p w14:paraId="18CF96BA">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违法行为</w:t>
            </w:r>
          </w:p>
        </w:tc>
        <w:tc>
          <w:tcPr>
            <w:tcW w:w="2643" w:type="dxa"/>
            <w:tcBorders>
              <w:top w:val="single" w:color="000000" w:sz="4" w:space="0"/>
              <w:left w:val="nil"/>
              <w:bottom w:val="single" w:color="000000" w:sz="4" w:space="0"/>
              <w:right w:val="single" w:color="000000" w:sz="4" w:space="0"/>
            </w:tcBorders>
            <w:shd w:val="clear" w:color="auto" w:fill="FFFFFF"/>
            <w:noWrap w:val="0"/>
            <w:tcMar>
              <w:left w:w="70" w:type="dxa"/>
              <w:right w:w="70" w:type="dxa"/>
            </w:tcMar>
            <w:vAlign w:val="center"/>
          </w:tcPr>
          <w:p w14:paraId="0F06E924">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lang w:eastAsia="zh-CN"/>
              </w:rPr>
              <w:t>适用</w:t>
            </w:r>
            <w:r>
              <w:rPr>
                <w:rFonts w:hint="eastAsia" w:ascii="黑体" w:hAnsi="黑体" w:eastAsia="黑体" w:cs="黑体"/>
                <w:color w:val="000000"/>
                <w:sz w:val="28"/>
                <w:szCs w:val="28"/>
              </w:rPr>
              <w:t>条件</w:t>
            </w:r>
          </w:p>
        </w:tc>
        <w:tc>
          <w:tcPr>
            <w:tcW w:w="1842" w:type="dxa"/>
            <w:tcBorders>
              <w:top w:val="single" w:color="000000" w:sz="4" w:space="0"/>
              <w:left w:val="nil"/>
              <w:bottom w:val="single" w:color="000000" w:sz="4" w:space="0"/>
              <w:right w:val="single" w:color="000000" w:sz="4" w:space="0"/>
            </w:tcBorders>
            <w:shd w:val="clear" w:color="auto" w:fill="FFFFFF"/>
            <w:noWrap w:val="0"/>
            <w:tcMar>
              <w:left w:w="70" w:type="dxa"/>
              <w:right w:w="70" w:type="dxa"/>
            </w:tcMar>
            <w:vAlign w:val="center"/>
          </w:tcPr>
          <w:p w14:paraId="02036039">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法律依据</w:t>
            </w:r>
          </w:p>
        </w:tc>
      </w:tr>
      <w:tr w14:paraId="2FE091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91" w:hRule="exact"/>
          <w:jc w:val="center"/>
        </w:trPr>
        <w:tc>
          <w:tcPr>
            <w:tcW w:w="748" w:type="dxa"/>
            <w:tcBorders>
              <w:top w:val="nil"/>
              <w:left w:val="single" w:color="000000" w:sz="4" w:space="0"/>
              <w:bottom w:val="single" w:color="000000" w:sz="4" w:space="0"/>
              <w:right w:val="single" w:color="000000" w:sz="4" w:space="0"/>
            </w:tcBorders>
            <w:shd w:val="clear" w:color="auto" w:fill="FFFFFF"/>
            <w:noWrap w:val="0"/>
            <w:tcMar>
              <w:left w:w="70" w:type="dxa"/>
              <w:right w:w="70" w:type="dxa"/>
            </w:tcMar>
            <w:vAlign w:val="center"/>
          </w:tcPr>
          <w:p w14:paraId="74977003">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eastAsia="宋体"/>
                <w:color w:val="000000"/>
                <w:lang w:val="en-US" w:eastAsia="zh-CN"/>
              </w:rPr>
            </w:pPr>
            <w:r>
              <w:rPr>
                <w:rFonts w:hint="eastAsia"/>
                <w:color w:val="000000"/>
                <w:lang w:val="en-US" w:eastAsia="zh-CN"/>
              </w:rPr>
              <w:t>1</w:t>
            </w:r>
          </w:p>
        </w:tc>
        <w:tc>
          <w:tcPr>
            <w:tcW w:w="3213" w:type="dxa"/>
            <w:tcBorders>
              <w:top w:val="nil"/>
              <w:left w:val="nil"/>
              <w:bottom w:val="single" w:color="000000" w:sz="4" w:space="0"/>
              <w:right w:val="single" w:color="000000" w:sz="4" w:space="0"/>
            </w:tcBorders>
            <w:shd w:val="clear" w:color="auto" w:fill="FFFFFF"/>
            <w:noWrap w:val="0"/>
            <w:tcMar>
              <w:left w:w="70" w:type="dxa"/>
              <w:right w:w="70" w:type="dxa"/>
            </w:tcMar>
            <w:vAlign w:val="center"/>
          </w:tcPr>
          <w:p w14:paraId="26ADB2A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default" w:eastAsia="宋体"/>
                <w:color w:val="000000"/>
                <w:lang w:val="en-US" w:eastAsia="zh-CN"/>
              </w:rPr>
            </w:pPr>
            <w:r>
              <w:rPr>
                <w:rFonts w:hint="eastAsia"/>
                <w:lang w:eastAsia="zh-CN"/>
              </w:rPr>
              <w:t>用人单位未按时足额缴纳职工医疗保险费、生育保险费的。</w:t>
            </w:r>
          </w:p>
        </w:tc>
        <w:tc>
          <w:tcPr>
            <w:tcW w:w="2643" w:type="dxa"/>
            <w:tcBorders>
              <w:top w:val="nil"/>
              <w:left w:val="nil"/>
              <w:bottom w:val="single" w:color="000000" w:sz="4" w:space="0"/>
              <w:right w:val="single" w:color="000000" w:sz="4" w:space="0"/>
            </w:tcBorders>
            <w:shd w:val="clear" w:color="auto" w:fill="FFFFFF"/>
            <w:noWrap w:val="0"/>
            <w:tcMar>
              <w:left w:w="70" w:type="dxa"/>
              <w:right w:w="70" w:type="dxa"/>
            </w:tcMar>
            <w:vAlign w:val="center"/>
          </w:tcPr>
          <w:p w14:paraId="40F1A0C1">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default"/>
                <w:color w:val="000000"/>
                <w:lang w:val="en" w:eastAsia="zh-CN"/>
              </w:rPr>
            </w:pPr>
            <w:r>
              <w:rPr>
                <w:rFonts w:hint="default"/>
                <w:color w:val="000000"/>
                <w:lang w:val="en" w:eastAsia="zh-CN"/>
              </w:rPr>
              <w:t>1.</w:t>
            </w:r>
            <w:r>
              <w:rPr>
                <w:rFonts w:hint="eastAsia"/>
                <w:color w:val="000000"/>
                <w:lang w:val="en-US" w:eastAsia="zh-CN"/>
              </w:rPr>
              <w:t>首次被发现；</w:t>
            </w:r>
          </w:p>
          <w:p w14:paraId="26999837">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default" w:eastAsia="宋体"/>
                <w:color w:val="000000"/>
                <w:lang w:val="en" w:eastAsia="zh-CN"/>
              </w:rPr>
            </w:pPr>
            <w:r>
              <w:rPr>
                <w:rFonts w:hint="default"/>
                <w:color w:val="000000"/>
                <w:lang w:val="en" w:eastAsia="zh-CN"/>
              </w:rPr>
              <w:t>2.</w:t>
            </w:r>
            <w:r>
              <w:rPr>
                <w:rFonts w:hint="eastAsia"/>
                <w:color w:val="000000"/>
                <w:lang w:eastAsia="zh-CN"/>
              </w:rPr>
              <w:t>自行纠正或限期</w:t>
            </w:r>
            <w:r>
              <w:rPr>
                <w:rFonts w:hint="eastAsia"/>
                <w:lang w:eastAsia="zh-CN"/>
              </w:rPr>
              <w:t>内</w:t>
            </w:r>
            <w:r>
              <w:rPr>
                <w:rFonts w:hint="eastAsia"/>
                <w:lang w:val="en-US" w:eastAsia="zh-CN"/>
              </w:rPr>
              <w:t>足额</w:t>
            </w:r>
            <w:r>
              <w:rPr>
                <w:rFonts w:hint="eastAsia"/>
                <w:lang w:eastAsia="zh-CN"/>
              </w:rPr>
              <w:t>缴纳</w:t>
            </w:r>
            <w:r>
              <w:rPr>
                <w:rFonts w:hint="eastAsia"/>
                <w:lang w:val="en-US" w:eastAsia="zh-CN"/>
              </w:rPr>
              <w:t>社会保</w:t>
            </w:r>
            <w:r>
              <w:rPr>
                <w:rFonts w:hint="eastAsia"/>
                <w:color w:val="000000"/>
                <w:lang w:val="en-US" w:eastAsia="zh-CN"/>
              </w:rPr>
              <w:t>险费和滞纳金。</w:t>
            </w:r>
          </w:p>
        </w:tc>
        <w:tc>
          <w:tcPr>
            <w:tcW w:w="1842" w:type="dxa"/>
            <w:tcBorders>
              <w:top w:val="nil"/>
              <w:left w:val="nil"/>
              <w:bottom w:val="nil"/>
              <w:right w:val="single" w:color="000000" w:sz="4" w:space="0"/>
            </w:tcBorders>
            <w:shd w:val="clear" w:color="auto" w:fill="FFFFFF"/>
            <w:noWrap w:val="0"/>
            <w:tcMar>
              <w:left w:w="70" w:type="dxa"/>
              <w:right w:w="70" w:type="dxa"/>
            </w:tcMar>
            <w:vAlign w:val="center"/>
          </w:tcPr>
          <w:p w14:paraId="43973A76">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eastAsia="宋体"/>
                <w:color w:val="000000"/>
                <w:lang w:val="en-US" w:eastAsia="zh-CN"/>
              </w:rPr>
            </w:pPr>
            <w:r>
              <w:rPr>
                <w:rFonts w:hint="eastAsia"/>
                <w:color w:val="000000"/>
                <w:lang w:val="en-US" w:eastAsia="zh-CN"/>
              </w:rPr>
              <w:t>1.《行政处罚法》第三十三条第一款2.</w:t>
            </w:r>
            <w:r>
              <w:rPr>
                <w:rFonts w:hint="eastAsia"/>
                <w:color w:val="000000"/>
              </w:rPr>
              <w:t>《</w:t>
            </w:r>
            <w:r>
              <w:rPr>
                <w:rFonts w:hint="eastAsia"/>
                <w:color w:val="000000"/>
                <w:lang w:eastAsia="zh-CN"/>
              </w:rPr>
              <w:t>社会保险法</w:t>
            </w:r>
            <w:r>
              <w:rPr>
                <w:rFonts w:hint="eastAsia"/>
                <w:color w:val="000000"/>
              </w:rPr>
              <w:t>》</w:t>
            </w:r>
            <w:r>
              <w:rPr>
                <w:rFonts w:hint="eastAsia"/>
                <w:color w:val="000000"/>
                <w:lang w:eastAsia="zh-CN"/>
              </w:rPr>
              <w:t>第八十六条</w:t>
            </w:r>
          </w:p>
        </w:tc>
      </w:tr>
      <w:tr w14:paraId="78C98D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39" w:hRule="exact"/>
          <w:jc w:val="center"/>
        </w:trPr>
        <w:tc>
          <w:tcPr>
            <w:tcW w:w="748" w:type="dxa"/>
            <w:tcBorders>
              <w:top w:val="nil"/>
              <w:left w:val="single" w:color="000000" w:sz="4" w:space="0"/>
              <w:bottom w:val="single" w:color="auto" w:sz="4" w:space="0"/>
              <w:right w:val="single" w:color="000000" w:sz="4" w:space="0"/>
            </w:tcBorders>
            <w:shd w:val="clear" w:color="auto" w:fill="FFFFFF"/>
            <w:noWrap w:val="0"/>
            <w:tcMar>
              <w:left w:w="70" w:type="dxa"/>
              <w:right w:w="70" w:type="dxa"/>
            </w:tcMar>
            <w:vAlign w:val="center"/>
          </w:tcPr>
          <w:p w14:paraId="32F734F7">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eastAsia="宋体"/>
                <w:color w:val="000000"/>
                <w:lang w:val="en-US" w:eastAsia="zh-CN"/>
              </w:rPr>
            </w:pPr>
            <w:r>
              <w:rPr>
                <w:rFonts w:hint="eastAsia"/>
                <w:color w:val="000000"/>
                <w:lang w:val="en-US" w:eastAsia="zh-CN"/>
              </w:rPr>
              <w:t>2</w:t>
            </w:r>
          </w:p>
        </w:tc>
        <w:tc>
          <w:tcPr>
            <w:tcW w:w="3213" w:type="dxa"/>
            <w:tcBorders>
              <w:top w:val="nil"/>
              <w:left w:val="nil"/>
              <w:bottom w:val="single" w:color="auto" w:sz="4" w:space="0"/>
              <w:right w:val="single" w:color="000000" w:sz="4" w:space="0"/>
            </w:tcBorders>
            <w:shd w:val="clear" w:color="auto" w:fill="FFFFFF"/>
            <w:noWrap w:val="0"/>
            <w:tcMar>
              <w:left w:w="70" w:type="dxa"/>
              <w:right w:w="70" w:type="dxa"/>
            </w:tcMar>
            <w:vAlign w:val="center"/>
          </w:tcPr>
          <w:p w14:paraId="2868DFB4">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textAlignment w:val="auto"/>
              <w:rPr>
                <w:rFonts w:hint="eastAsia"/>
                <w:color w:val="000000"/>
                <w:lang w:val="en-US" w:eastAsia="zh-CN"/>
              </w:rPr>
            </w:pPr>
            <w:r>
              <w:rPr>
                <w:rFonts w:hint="eastAsia"/>
                <w:color w:val="000000"/>
                <w:lang w:val="en-US" w:eastAsia="zh-CN"/>
              </w:rPr>
              <w:t>用人单位未按照规定办理职工医疗保险费、生育保险费登记、变更登记或者注销登记的。</w:t>
            </w:r>
          </w:p>
          <w:p w14:paraId="3F0EEC19">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000000"/>
              </w:rPr>
            </w:pPr>
          </w:p>
        </w:tc>
        <w:tc>
          <w:tcPr>
            <w:tcW w:w="2643" w:type="dxa"/>
            <w:tcBorders>
              <w:top w:val="nil"/>
              <w:left w:val="nil"/>
              <w:bottom w:val="single" w:color="auto" w:sz="4" w:space="0"/>
              <w:right w:val="single" w:color="000000" w:sz="4" w:space="0"/>
            </w:tcBorders>
            <w:shd w:val="clear" w:color="auto" w:fill="FFFFFF"/>
            <w:noWrap w:val="0"/>
            <w:tcMar>
              <w:left w:w="70" w:type="dxa"/>
              <w:right w:w="70" w:type="dxa"/>
            </w:tcMar>
            <w:vAlign w:val="center"/>
          </w:tcPr>
          <w:p w14:paraId="3513869C">
            <w:pPr>
              <w:keepNext w:val="0"/>
              <w:keepLines w:val="0"/>
              <w:pageBreakBefore w:val="0"/>
              <w:numPr>
                <w:ilvl w:val="0"/>
                <w:numId w:val="1"/>
              </w:numPr>
              <w:kinsoku/>
              <w:wordWrap/>
              <w:overflowPunct/>
              <w:topLinePunct w:val="0"/>
              <w:autoSpaceDE/>
              <w:autoSpaceDN/>
              <w:bidi w:val="0"/>
              <w:adjustRightInd/>
              <w:snapToGrid/>
              <w:spacing w:line="400" w:lineRule="exact"/>
              <w:ind w:right="0" w:rightChars="0"/>
              <w:textAlignment w:val="auto"/>
              <w:rPr>
                <w:rFonts w:hint="eastAsia"/>
                <w:color w:val="000000"/>
                <w:lang w:val="en-US" w:eastAsia="zh-CN"/>
              </w:rPr>
            </w:pPr>
            <w:r>
              <w:rPr>
                <w:rFonts w:hint="eastAsia"/>
                <w:color w:val="000000"/>
                <w:lang w:val="en-US" w:eastAsia="zh-CN"/>
              </w:rPr>
              <w:t>首次被发现；</w:t>
            </w:r>
          </w:p>
          <w:p w14:paraId="07F7FF3F">
            <w:pPr>
              <w:keepNext w:val="0"/>
              <w:keepLines w:val="0"/>
              <w:pageBreakBefore w:val="0"/>
              <w:numPr>
                <w:ilvl w:val="0"/>
                <w:numId w:val="1"/>
              </w:numPr>
              <w:kinsoku/>
              <w:wordWrap/>
              <w:overflowPunct/>
              <w:topLinePunct w:val="0"/>
              <w:autoSpaceDE/>
              <w:autoSpaceDN/>
              <w:bidi w:val="0"/>
              <w:adjustRightInd/>
              <w:snapToGrid/>
              <w:spacing w:line="400" w:lineRule="exact"/>
              <w:ind w:right="0" w:rightChars="0"/>
              <w:textAlignment w:val="auto"/>
              <w:rPr>
                <w:rFonts w:hint="default"/>
                <w:color w:val="000000"/>
                <w:lang w:val="en-US" w:eastAsia="zh-CN"/>
              </w:rPr>
            </w:pPr>
            <w:r>
              <w:rPr>
                <w:rFonts w:hint="eastAsia"/>
                <w:color w:val="000000"/>
                <w:lang w:eastAsia="zh-CN"/>
              </w:rPr>
              <w:t>自行纠正</w:t>
            </w:r>
            <w:r>
              <w:rPr>
                <w:rFonts w:hint="eastAsia"/>
                <w:color w:val="000000"/>
                <w:lang w:val="en-US" w:eastAsia="zh-CN"/>
              </w:rPr>
              <w:t>或限期内办理登记；</w:t>
            </w:r>
          </w:p>
          <w:p w14:paraId="2D0BCC28">
            <w:pPr>
              <w:keepNext w:val="0"/>
              <w:keepLines w:val="0"/>
              <w:pageBreakBefore w:val="0"/>
              <w:numPr>
                <w:ilvl w:val="0"/>
                <w:numId w:val="1"/>
              </w:numPr>
              <w:kinsoku/>
              <w:wordWrap/>
              <w:overflowPunct/>
              <w:topLinePunct w:val="0"/>
              <w:autoSpaceDE/>
              <w:autoSpaceDN/>
              <w:bidi w:val="0"/>
              <w:adjustRightInd/>
              <w:snapToGrid/>
              <w:spacing w:line="400" w:lineRule="exact"/>
              <w:ind w:right="0" w:rightChars="0"/>
              <w:textAlignment w:val="auto"/>
              <w:rPr>
                <w:rFonts w:hint="default"/>
                <w:color w:val="000000"/>
                <w:lang w:val="en-US" w:eastAsia="zh-CN"/>
              </w:rPr>
            </w:pPr>
            <w:r>
              <w:rPr>
                <w:rFonts w:hint="eastAsia"/>
                <w:color w:val="000000"/>
                <w:lang w:eastAsia="zh-CN"/>
              </w:rPr>
              <w:t>违法情节轻微未造成危害后果。</w:t>
            </w:r>
          </w:p>
        </w:tc>
        <w:tc>
          <w:tcPr>
            <w:tcW w:w="1842" w:type="dxa"/>
            <w:tcBorders>
              <w:top w:val="single" w:color="000000" w:sz="4" w:space="0"/>
              <w:left w:val="nil"/>
              <w:bottom w:val="single" w:color="auto" w:sz="4" w:space="0"/>
              <w:right w:val="single" w:color="000000" w:sz="4" w:space="0"/>
            </w:tcBorders>
            <w:shd w:val="clear" w:color="auto" w:fill="FFFFFF"/>
            <w:noWrap w:val="0"/>
            <w:tcMar>
              <w:left w:w="70" w:type="dxa"/>
              <w:right w:w="70" w:type="dxa"/>
            </w:tcMar>
            <w:vAlign w:val="center"/>
          </w:tcPr>
          <w:p w14:paraId="000749E7">
            <w:pPr>
              <w:keepNext w:val="0"/>
              <w:keepLines w:val="0"/>
              <w:pageBreakBefore w:val="0"/>
              <w:numPr>
                <w:ilvl w:val="0"/>
                <w:numId w:val="2"/>
              </w:numPr>
              <w:kinsoku/>
              <w:wordWrap/>
              <w:overflowPunct/>
              <w:topLinePunct w:val="0"/>
              <w:autoSpaceDE/>
              <w:autoSpaceDN/>
              <w:bidi w:val="0"/>
              <w:adjustRightInd/>
              <w:snapToGrid/>
              <w:spacing w:line="400" w:lineRule="exact"/>
              <w:ind w:right="0" w:rightChars="0"/>
              <w:textAlignment w:val="auto"/>
              <w:rPr>
                <w:rFonts w:hint="eastAsia"/>
                <w:color w:val="000000"/>
                <w:lang w:eastAsia="zh-CN"/>
              </w:rPr>
            </w:pPr>
            <w:r>
              <w:rPr>
                <w:rFonts w:hint="eastAsia"/>
                <w:color w:val="000000"/>
                <w:lang w:val="en-US" w:eastAsia="zh-CN"/>
              </w:rPr>
              <w:t>《行政处罚法》第三十三条第一款2.</w:t>
            </w:r>
            <w:r>
              <w:rPr>
                <w:rFonts w:hint="eastAsia"/>
                <w:color w:val="000000"/>
              </w:rPr>
              <w:t>《</w:t>
            </w:r>
            <w:r>
              <w:rPr>
                <w:rFonts w:hint="eastAsia"/>
                <w:color w:val="000000"/>
                <w:lang w:eastAsia="zh-CN"/>
              </w:rPr>
              <w:t>社会保险法</w:t>
            </w:r>
            <w:r>
              <w:rPr>
                <w:rFonts w:hint="eastAsia"/>
                <w:color w:val="000000"/>
              </w:rPr>
              <w:t>》</w:t>
            </w:r>
            <w:r>
              <w:rPr>
                <w:rFonts w:hint="eastAsia"/>
                <w:color w:val="000000"/>
                <w:lang w:eastAsia="zh-CN"/>
              </w:rPr>
              <w:t>第八十四条</w:t>
            </w:r>
          </w:p>
          <w:p w14:paraId="0E80E263">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textAlignment w:val="auto"/>
              <w:rPr>
                <w:rFonts w:hint="eastAsia"/>
                <w:color w:val="000000"/>
                <w:lang w:eastAsia="zh-CN"/>
              </w:rPr>
            </w:pPr>
            <w:r>
              <w:rPr>
                <w:rFonts w:hint="eastAsia"/>
                <w:color w:val="000000"/>
                <w:lang w:val="en-US" w:eastAsia="zh-CN"/>
              </w:rPr>
              <w:t>3《社会保险费征缴暂行条例》第二十三条</w:t>
            </w:r>
          </w:p>
          <w:p w14:paraId="049B83A7">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default"/>
                <w:color w:val="000000"/>
                <w:lang w:val="en-US" w:eastAsia="zh-CN"/>
              </w:rPr>
            </w:pPr>
            <w:r>
              <w:rPr>
                <w:rFonts w:hint="eastAsia"/>
                <w:color w:val="000000"/>
                <w:lang w:val="en-US" w:eastAsia="zh-CN"/>
              </w:rPr>
              <w:t>4.《社会保险费征缴检查办法》第十二条</w:t>
            </w:r>
          </w:p>
        </w:tc>
      </w:tr>
      <w:tr w14:paraId="3CA0A4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22" w:hRule="exact"/>
          <w:jc w:val="center"/>
        </w:trPr>
        <w:tc>
          <w:tcPr>
            <w:tcW w:w="748"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304DC1D3">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default"/>
                <w:color w:val="000000"/>
                <w:lang w:val="en-US" w:eastAsia="zh-CN"/>
              </w:rPr>
            </w:pPr>
            <w:r>
              <w:rPr>
                <w:rFonts w:hint="eastAsia"/>
                <w:color w:val="000000"/>
                <w:lang w:val="en-US" w:eastAsia="zh-CN"/>
              </w:rPr>
              <w:t>3</w:t>
            </w:r>
          </w:p>
        </w:tc>
        <w:tc>
          <w:tcPr>
            <w:tcW w:w="3213"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74287A11">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textAlignment w:val="auto"/>
              <w:rPr>
                <w:rFonts w:hint="eastAsia"/>
                <w:color w:val="000000"/>
                <w:lang w:val="en-US" w:eastAsia="zh-CN"/>
              </w:rPr>
            </w:pPr>
            <w:r>
              <w:rPr>
                <w:rFonts w:hint="eastAsia"/>
                <w:color w:val="000000"/>
                <w:lang w:val="en-US" w:eastAsia="zh-CN"/>
              </w:rPr>
              <w:t>用人单位未按照规定申报应缴纳的社会保险费数额的。</w:t>
            </w:r>
          </w:p>
          <w:p w14:paraId="19425406">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000000"/>
              </w:rPr>
            </w:pPr>
          </w:p>
        </w:tc>
        <w:tc>
          <w:tcPr>
            <w:tcW w:w="2643"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4F86F297">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eastAsia"/>
                <w:color w:val="000000"/>
                <w:lang w:val="en-US" w:eastAsia="zh-CN"/>
              </w:rPr>
            </w:pPr>
            <w:r>
              <w:rPr>
                <w:rFonts w:hint="eastAsia"/>
                <w:color w:val="000000"/>
                <w:lang w:val="en-US" w:eastAsia="zh-CN"/>
              </w:rPr>
              <w:t>1.首次被发现；</w:t>
            </w:r>
          </w:p>
          <w:p w14:paraId="0283DFFE">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default"/>
                <w:color w:val="000000"/>
                <w:lang w:val="en-US" w:eastAsia="zh-CN"/>
              </w:rPr>
            </w:pPr>
            <w:r>
              <w:rPr>
                <w:rFonts w:hint="eastAsia"/>
                <w:color w:val="000000"/>
                <w:lang w:val="en-US" w:eastAsia="zh-CN"/>
              </w:rPr>
              <w:t>2.</w:t>
            </w:r>
            <w:r>
              <w:rPr>
                <w:rFonts w:hint="eastAsia"/>
                <w:color w:val="000000"/>
                <w:lang w:eastAsia="zh-CN"/>
              </w:rPr>
              <w:t>自行纠正或限期内</w:t>
            </w:r>
            <w:r>
              <w:rPr>
                <w:rFonts w:hint="eastAsia"/>
                <w:color w:val="000000"/>
                <w:lang w:val="en-US" w:eastAsia="zh-CN"/>
              </w:rPr>
              <w:t>申报</w:t>
            </w:r>
            <w:r>
              <w:rPr>
                <w:rFonts w:hint="eastAsia"/>
                <w:color w:val="000000"/>
                <w:lang w:eastAsia="zh-CN"/>
              </w:rPr>
              <w:t>；</w:t>
            </w:r>
          </w:p>
          <w:p w14:paraId="33D240AC">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eastAsia"/>
                <w:color w:val="000000"/>
              </w:rPr>
            </w:pPr>
            <w:r>
              <w:rPr>
                <w:rFonts w:hint="eastAsia"/>
                <w:color w:val="000000"/>
                <w:lang w:val="en-US" w:eastAsia="zh-CN"/>
              </w:rPr>
              <w:t>3.</w:t>
            </w:r>
            <w:r>
              <w:rPr>
                <w:rFonts w:hint="eastAsia"/>
                <w:color w:val="000000"/>
                <w:lang w:eastAsia="zh-CN"/>
              </w:rPr>
              <w:t>违法情节轻微未造成危害后果。</w:t>
            </w:r>
          </w:p>
        </w:tc>
        <w:tc>
          <w:tcPr>
            <w:tcW w:w="1842"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4B4401D5">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textAlignment w:val="auto"/>
              <w:rPr>
                <w:rFonts w:hint="eastAsia"/>
                <w:color w:val="000000"/>
                <w:lang w:eastAsia="zh-CN"/>
              </w:rPr>
            </w:pPr>
            <w:r>
              <w:rPr>
                <w:rFonts w:hint="eastAsia"/>
                <w:color w:val="000000"/>
                <w:lang w:val="en-US" w:eastAsia="zh-CN"/>
              </w:rPr>
              <w:t>1.《行政处罚法》第三十三条第一款2.《社会保险费征缴暂行条例》第二十三条</w:t>
            </w:r>
          </w:p>
          <w:p w14:paraId="445D2EF8">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color w:val="000000"/>
                <w:lang w:val="en-US" w:eastAsia="zh-CN"/>
              </w:rPr>
            </w:pPr>
            <w:r>
              <w:rPr>
                <w:rFonts w:hint="eastAsia"/>
                <w:color w:val="000000"/>
                <w:lang w:val="en-US" w:eastAsia="zh-CN"/>
              </w:rPr>
              <w:t>3.《社会保险费征缴检查办法》第十二条</w:t>
            </w:r>
          </w:p>
        </w:tc>
      </w:tr>
      <w:tr w14:paraId="5C7985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42" w:hRule="exact"/>
          <w:jc w:val="center"/>
        </w:trPr>
        <w:tc>
          <w:tcPr>
            <w:tcW w:w="748"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732C9892">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default"/>
                <w:color w:val="000000"/>
                <w:lang w:val="en-US" w:eastAsia="zh-CN"/>
              </w:rPr>
            </w:pPr>
            <w:r>
              <w:rPr>
                <w:rFonts w:hint="eastAsia"/>
                <w:color w:val="000000"/>
                <w:lang w:val="en-US" w:eastAsia="zh-CN"/>
              </w:rPr>
              <w:t>4</w:t>
            </w:r>
          </w:p>
        </w:tc>
        <w:tc>
          <w:tcPr>
            <w:tcW w:w="3213"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39C4D7B0">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000000"/>
              </w:rPr>
            </w:pPr>
            <w:r>
              <w:rPr>
                <w:rFonts w:hint="eastAsia"/>
                <w:color w:val="000000"/>
              </w:rPr>
              <w:t>（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2643"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23521189">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color w:val="000000"/>
                <w:lang w:val="en-US" w:eastAsia="zh-CN"/>
              </w:rPr>
            </w:pPr>
            <w:r>
              <w:rPr>
                <w:rFonts w:hint="eastAsia"/>
                <w:color w:val="000000"/>
              </w:rPr>
              <w:t>初次违法且</w:t>
            </w:r>
            <w:r>
              <w:rPr>
                <w:rFonts w:hint="eastAsia"/>
                <w:color w:val="000000"/>
                <w:lang w:val="en-US" w:eastAsia="zh-CN"/>
              </w:rPr>
              <w:t>自行纠正或者在限期内改正的。</w:t>
            </w:r>
          </w:p>
        </w:tc>
        <w:tc>
          <w:tcPr>
            <w:tcW w:w="1842" w:type="dxa"/>
            <w:tcBorders>
              <w:top w:val="single" w:color="auto" w:sz="4" w:space="0"/>
              <w:left w:val="single" w:color="auto" w:sz="4" w:space="0"/>
              <w:bottom w:val="single" w:color="auto" w:sz="4" w:space="0"/>
              <w:right w:val="single" w:color="auto" w:sz="4" w:space="0"/>
            </w:tcBorders>
            <w:shd w:val="clear" w:color="auto" w:fill="FFFFFF"/>
            <w:noWrap w:val="0"/>
            <w:tcMar>
              <w:left w:w="70" w:type="dxa"/>
              <w:right w:w="70" w:type="dxa"/>
            </w:tcMar>
            <w:vAlign w:val="center"/>
          </w:tcPr>
          <w:p w14:paraId="4513E670">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color w:val="000000"/>
                <w:lang w:val="en-US" w:eastAsia="zh-CN"/>
              </w:rPr>
            </w:pPr>
            <w:r>
              <w:rPr>
                <w:rFonts w:hint="eastAsia"/>
                <w:color w:val="000000"/>
                <w:lang w:val="en-US" w:eastAsia="zh-CN"/>
              </w:rPr>
              <w:t>1.《行政处罚法》第三十三条第一款2.</w:t>
            </w:r>
            <w:r>
              <w:rPr>
                <w:rFonts w:hint="eastAsia"/>
                <w:color w:val="000000"/>
              </w:rPr>
              <w:t>《医疗保障基金使用监督管理条例》</w:t>
            </w:r>
            <w:r>
              <w:rPr>
                <w:rFonts w:hint="eastAsia"/>
                <w:color w:val="000000"/>
                <w:lang w:eastAsia="zh-CN"/>
              </w:rPr>
              <w:t>第三十九条</w:t>
            </w:r>
          </w:p>
        </w:tc>
      </w:tr>
    </w:tbl>
    <w:p w14:paraId="761C98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jc w:val="left"/>
        <w:textAlignment w:val="auto"/>
        <w:rPr>
          <w:rFonts w:hint="eastAsia" w:ascii="微软雅黑" w:hAnsi="微软雅黑" w:eastAsia="微软雅黑" w:cs="微软雅黑"/>
          <w:i w:val="0"/>
          <w:iCs w:val="0"/>
          <w:caps w:val="0"/>
          <w:color w:val="404040"/>
          <w:spacing w:val="0"/>
          <w:sz w:val="24"/>
          <w:szCs w:val="24"/>
        </w:rPr>
      </w:pPr>
    </w:p>
    <w:p w14:paraId="304CA4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rPr>
          <w:rFonts w:hint="eastAsia" w:ascii="微软雅黑" w:hAnsi="微软雅黑" w:eastAsia="微软雅黑" w:cs="微软雅黑"/>
          <w:i w:val="0"/>
          <w:iCs w:val="0"/>
          <w:caps w:val="0"/>
          <w:color w:val="404040"/>
          <w:spacing w:val="0"/>
          <w:sz w:val="24"/>
          <w:szCs w:val="24"/>
        </w:rPr>
      </w:pPr>
    </w:p>
    <w:p w14:paraId="47C4C701">
      <w:pPr>
        <w:keepNext w:val="0"/>
        <w:keepLines w:val="0"/>
        <w:pageBreakBefore w:val="0"/>
        <w:kinsoku/>
        <w:wordWrap/>
        <w:overflowPunct/>
        <w:topLinePunct w:val="0"/>
        <w:autoSpaceDE/>
        <w:autoSpaceDN/>
        <w:bidi w:val="0"/>
        <w:adjustRightInd/>
        <w:snapToGrid/>
        <w:spacing w:line="560" w:lineRule="exact"/>
        <w:ind w:right="0" w:rightChars="0"/>
        <w:textAlignment w:val="auto"/>
      </w:pPr>
    </w:p>
    <w:p w14:paraId="66F6D1C3">
      <w:pPr>
        <w:pStyle w:val="2"/>
      </w:pPr>
    </w:p>
    <w:p w14:paraId="0E8ACC9D">
      <w:pPr>
        <w:pStyle w:val="2"/>
      </w:pPr>
    </w:p>
    <w:p w14:paraId="5CFA8E5D">
      <w:pPr>
        <w:pStyle w:val="2"/>
      </w:pPr>
    </w:p>
    <w:p w14:paraId="6A21FA08">
      <w:pPr>
        <w:jc w:val="center"/>
        <w:rPr>
          <w:rFonts w:hint="eastAsia" w:ascii="Calibri" w:hAnsi="Calibri" w:eastAsia="方正小标宋简体" w:cs="Times New Roman"/>
          <w:b w:val="0"/>
          <w:bCs/>
          <w:kern w:val="44"/>
          <w:sz w:val="36"/>
          <w:szCs w:val="22"/>
          <w:lang w:val="en-US" w:eastAsia="zh-CN" w:bidi="ar-SA"/>
        </w:rPr>
      </w:pPr>
    </w:p>
    <w:p w14:paraId="4751C054">
      <w:pPr>
        <w:jc w:val="left"/>
        <w:rPr>
          <w:rFonts w:hint="eastAsia" w:ascii="黑体" w:hAnsi="黑体" w:eastAsia="黑体" w:cs="黑体"/>
          <w:sz w:val="32"/>
          <w:szCs w:val="32"/>
          <w:lang w:val="en-US" w:eastAsia="zh-CN"/>
        </w:rPr>
      </w:pPr>
    </w:p>
    <w:p w14:paraId="193D1808">
      <w:pPr>
        <w:pStyle w:val="2"/>
        <w:ind w:left="0" w:leftChars="0" w:firstLine="0" w:firstLineChars="0"/>
        <w:rPr>
          <w:rFonts w:hint="eastAsia" w:ascii="黑体" w:hAnsi="黑体" w:eastAsia="黑体" w:cs="黑体"/>
          <w:sz w:val="32"/>
          <w:szCs w:val="32"/>
          <w:lang w:val="en-US" w:eastAsia="zh-CN"/>
        </w:rPr>
      </w:pPr>
    </w:p>
    <w:p w14:paraId="42E5F20F">
      <w:pPr>
        <w:jc w:val="left"/>
        <w:rPr>
          <w:rFonts w:hint="eastAsia" w:ascii="Calibri" w:hAnsi="Calibri" w:eastAsia="方正小标宋简体" w:cs="Times New Roman"/>
          <w:b w:val="0"/>
          <w:bCs/>
          <w:kern w:val="44"/>
          <w:sz w:val="36"/>
          <w:szCs w:val="22"/>
          <w:lang w:val="en-US" w:eastAsia="zh-CN" w:bidi="ar-SA"/>
        </w:rPr>
      </w:pPr>
      <w:r>
        <w:rPr>
          <w:rFonts w:hint="eastAsia" w:ascii="黑体" w:hAnsi="黑体" w:eastAsia="黑体" w:cs="黑体"/>
          <w:sz w:val="32"/>
          <w:szCs w:val="32"/>
          <w:lang w:val="en-US" w:eastAsia="zh-CN"/>
        </w:rPr>
        <w:t>附件3</w:t>
      </w:r>
    </w:p>
    <w:p w14:paraId="0ED49242">
      <w:pPr>
        <w:jc w:val="center"/>
        <w:rPr>
          <w:rFonts w:hint="eastAsia" w:ascii="Calibri" w:hAnsi="Calibri" w:eastAsia="方正小标宋简体" w:cs="Times New Roman"/>
          <w:b w:val="0"/>
          <w:bCs/>
          <w:kern w:val="44"/>
          <w:sz w:val="36"/>
          <w:szCs w:val="22"/>
          <w:lang w:val="en-US" w:eastAsia="zh-CN" w:bidi="ar-SA"/>
        </w:rPr>
      </w:pPr>
      <w:r>
        <w:rPr>
          <w:rFonts w:hint="eastAsia" w:ascii="Calibri" w:hAnsi="Calibri" w:eastAsia="方正小标宋简体" w:cs="Times New Roman"/>
          <w:b w:val="0"/>
          <w:bCs/>
          <w:kern w:val="44"/>
          <w:sz w:val="36"/>
          <w:szCs w:val="22"/>
          <w:lang w:val="en-US" w:eastAsia="zh-CN" w:bidi="ar-SA"/>
        </w:rPr>
        <w:t>守法诚信承诺书</w:t>
      </w:r>
    </w:p>
    <w:p w14:paraId="2D57855C">
      <w:pPr>
        <w:pStyle w:val="9"/>
        <w:spacing w:before="0" w:beforeAutospacing="0" w:after="0" w:afterAutospacing="0" w:line="560" w:lineRule="exact"/>
        <w:jc w:val="center"/>
        <w:rPr>
          <w:rFonts w:ascii="仿宋_GB2312" w:eastAsia="仿宋_GB2312"/>
          <w:color w:val="auto"/>
          <w:sz w:val="32"/>
          <w:szCs w:val="32"/>
          <w:highlight w:val="none"/>
        </w:rPr>
      </w:pPr>
    </w:p>
    <w:p w14:paraId="27DF4395">
      <w:pPr>
        <w:pStyle w:val="9"/>
        <w:spacing w:before="0" w:beforeAutospacing="0" w:after="0" w:afterAutospacing="0" w:line="560" w:lineRule="exact"/>
        <w:rPr>
          <w:rFonts w:hint="eastAsia" w:ascii="方正仿宋_GBK" w:hAnsi="方正仿宋_GBK" w:eastAsia="方正仿宋_GBK" w:cs="方正仿宋_GBK"/>
          <w:color w:val="auto"/>
          <w:kern w:val="0"/>
          <w:sz w:val="32"/>
          <w:szCs w:val="32"/>
          <w:highlight w:val="none"/>
          <w:u w:val="none"/>
          <w:lang w:val="en-US" w:eastAsia="zh-CN" w:bidi="ar-SA"/>
        </w:rPr>
      </w:pPr>
      <w:r>
        <w:rPr>
          <w:rFonts w:hint="eastAsia" w:ascii="方正仿宋_GBK" w:hAnsi="方正仿宋_GBK" w:eastAsia="方正仿宋_GBK" w:cs="方正仿宋_GBK"/>
          <w:color w:val="auto"/>
          <w:kern w:val="0"/>
          <w:sz w:val="32"/>
          <w:szCs w:val="32"/>
          <w:highlight w:val="none"/>
          <w:u w:val="single"/>
          <w:lang w:val="en-US" w:eastAsia="zh-CN" w:bidi="ar-SA"/>
        </w:rPr>
        <w:t>xxxxxxxx</w:t>
      </w:r>
      <w:r>
        <w:rPr>
          <w:rFonts w:hint="eastAsia" w:ascii="方正仿宋_GBK" w:hAnsi="方正仿宋_GBK" w:eastAsia="方正仿宋_GBK" w:cs="方正仿宋_GBK"/>
          <w:color w:val="auto"/>
          <w:kern w:val="0"/>
          <w:sz w:val="32"/>
          <w:szCs w:val="32"/>
          <w:highlight w:val="none"/>
          <w:u w:val="none"/>
          <w:lang w:val="en-US" w:eastAsia="zh-CN" w:bidi="ar-SA"/>
        </w:rPr>
        <w:t>：</w:t>
      </w:r>
    </w:p>
    <w:p w14:paraId="1A72BCA8">
      <w:pPr>
        <w:pStyle w:val="9"/>
        <w:spacing w:before="0" w:beforeAutospacing="0" w:after="0" w:afterAutospacing="0" w:line="560" w:lineRule="exact"/>
        <w:ind w:firstLine="640" w:firstLineChars="200"/>
        <w:rPr>
          <w:rFonts w:hint="eastAsia" w:ascii="方正仿宋_GBK" w:hAnsi="方正仿宋_GBK" w:eastAsia="方正仿宋_GBK" w:cs="方正仿宋_GBK"/>
          <w:color w:val="auto"/>
          <w:kern w:val="0"/>
          <w:sz w:val="32"/>
          <w:szCs w:val="32"/>
          <w:highlight w:val="none"/>
          <w:u w:val="none"/>
          <w:lang w:val="en-US" w:eastAsia="zh-CN" w:bidi="ar-SA"/>
        </w:rPr>
      </w:pPr>
      <w:r>
        <w:rPr>
          <w:rFonts w:hint="eastAsia" w:ascii="方正仿宋_GBK" w:hAnsi="方正仿宋_GBK" w:eastAsia="方正仿宋_GBK" w:cs="方正仿宋_GBK"/>
          <w:color w:val="auto"/>
          <w:kern w:val="0"/>
          <w:sz w:val="32"/>
          <w:szCs w:val="32"/>
          <w:highlight w:val="none"/>
          <w:u w:val="none"/>
          <w:lang w:val="en-US" w:eastAsia="zh-CN" w:bidi="ar-SA"/>
        </w:rPr>
        <w:t>我单位就你局指出的</w:t>
      </w:r>
      <w:r>
        <w:rPr>
          <w:rFonts w:hint="eastAsia" w:ascii="方正仿宋_GBK" w:hAnsi="方正仿宋_GBK" w:eastAsia="方正仿宋_GBK" w:cs="方正仿宋_GBK"/>
          <w:color w:val="auto"/>
          <w:kern w:val="0"/>
          <w:sz w:val="32"/>
          <w:szCs w:val="32"/>
          <w:highlight w:val="none"/>
          <w:u w:val="single"/>
          <w:lang w:val="en-US" w:eastAsia="zh-CN" w:bidi="ar-SA"/>
        </w:rPr>
        <w:t xml:space="preserve">        </w:t>
      </w:r>
      <w:r>
        <w:rPr>
          <w:rFonts w:hint="eastAsia" w:ascii="方正仿宋_GBK" w:hAnsi="方正仿宋_GBK" w:eastAsia="方正仿宋_GBK" w:cs="方正仿宋_GBK"/>
          <w:color w:val="auto"/>
          <w:kern w:val="0"/>
          <w:sz w:val="32"/>
          <w:szCs w:val="32"/>
          <w:highlight w:val="none"/>
          <w:u w:val="none"/>
          <w:lang w:val="en-US" w:eastAsia="zh-CN" w:bidi="ar-SA"/>
        </w:rPr>
        <w:t>问题进行了研究，分析了产生问题的原因，充分认识到问题的危害性。为维护</w:t>
      </w:r>
      <w:r>
        <w:rPr>
          <w:rFonts w:hint="eastAsia" w:ascii="方正仿宋_GBK" w:hAnsi="方正仿宋_GBK" w:eastAsia="方正仿宋_GBK" w:cs="方正仿宋_GBK"/>
          <w:color w:val="auto"/>
          <w:kern w:val="0"/>
          <w:sz w:val="32"/>
          <w:szCs w:val="32"/>
          <w:highlight w:val="none"/>
          <w:u w:val="none"/>
          <w:lang w:val="en-US" w:eastAsia="zh-Hans" w:bidi="ar-SA"/>
        </w:rPr>
        <w:t>医疗保障</w:t>
      </w:r>
      <w:r>
        <w:rPr>
          <w:rFonts w:hint="eastAsia" w:ascii="方正仿宋_GBK" w:hAnsi="方正仿宋_GBK" w:eastAsia="方正仿宋_GBK" w:cs="方正仿宋_GBK"/>
          <w:color w:val="auto"/>
          <w:kern w:val="0"/>
          <w:sz w:val="32"/>
          <w:szCs w:val="32"/>
          <w:highlight w:val="none"/>
          <w:u w:val="none"/>
          <w:lang w:val="en-US" w:eastAsia="zh-CN" w:bidi="ar-SA"/>
        </w:rPr>
        <w:t>基金安全，促进</w:t>
      </w:r>
      <w:r>
        <w:rPr>
          <w:rFonts w:hint="eastAsia" w:ascii="方正仿宋_GBK" w:hAnsi="方正仿宋_GBK" w:eastAsia="方正仿宋_GBK" w:cs="方正仿宋_GBK"/>
          <w:color w:val="auto"/>
          <w:kern w:val="0"/>
          <w:sz w:val="32"/>
          <w:szCs w:val="32"/>
          <w:highlight w:val="none"/>
          <w:u w:val="none"/>
          <w:lang w:val="en-US" w:eastAsia="zh-Hans" w:bidi="ar-SA"/>
        </w:rPr>
        <w:t>医疗保障</w:t>
      </w:r>
      <w:r>
        <w:rPr>
          <w:rFonts w:hint="eastAsia" w:ascii="方正仿宋_GBK" w:hAnsi="方正仿宋_GBK" w:eastAsia="方正仿宋_GBK" w:cs="方正仿宋_GBK"/>
          <w:color w:val="auto"/>
          <w:kern w:val="0"/>
          <w:sz w:val="32"/>
          <w:szCs w:val="32"/>
          <w:highlight w:val="none"/>
          <w:u w:val="none"/>
          <w:lang w:val="en-US" w:eastAsia="zh-CN" w:bidi="ar-SA"/>
        </w:rPr>
        <w:t xml:space="preserve">基金有效使用，我单位郑重承诺： </w:t>
      </w:r>
    </w:p>
    <w:p w14:paraId="20A3CAE4">
      <w:pPr>
        <w:pStyle w:val="9"/>
        <w:spacing w:before="0" w:beforeAutospacing="0" w:after="0" w:afterAutospacing="0" w:line="560" w:lineRule="exact"/>
        <w:ind w:firstLine="648"/>
        <w:jc w:val="both"/>
        <w:rPr>
          <w:rFonts w:hint="eastAsia" w:ascii="方正仿宋_GBK" w:hAnsi="方正仿宋_GBK" w:eastAsia="方正仿宋_GBK" w:cs="方正仿宋_GBK"/>
          <w:color w:val="auto"/>
          <w:kern w:val="0"/>
          <w:sz w:val="32"/>
          <w:szCs w:val="32"/>
          <w:highlight w:val="none"/>
          <w:u w:val="none"/>
          <w:lang w:val="en-US" w:eastAsia="zh-CN" w:bidi="ar-SA"/>
        </w:rPr>
      </w:pPr>
      <w:bookmarkStart w:id="1" w:name="_Toc573501470_WPSOffice_Level1"/>
      <w:bookmarkStart w:id="2" w:name="_Toc1655703825_WPSOffice_Level1"/>
      <w:bookmarkStart w:id="3" w:name="_Toc1881778584_WPSOffice_Level1"/>
      <w:bookmarkStart w:id="4" w:name="_Toc1552590251_WPSOffice_Level1"/>
      <w:r>
        <w:rPr>
          <w:rFonts w:hint="eastAsia" w:ascii="方正仿宋_GBK" w:hAnsi="方正仿宋_GBK" w:eastAsia="方正仿宋_GBK" w:cs="方正仿宋_GBK"/>
          <w:color w:val="auto"/>
          <w:kern w:val="0"/>
          <w:sz w:val="32"/>
          <w:szCs w:val="32"/>
          <w:highlight w:val="none"/>
          <w:u w:val="none"/>
          <w:lang w:val="en-US" w:eastAsia="zh-CN" w:bidi="ar-SA"/>
        </w:rPr>
        <w:t>1.</w:t>
      </w:r>
      <w:bookmarkEnd w:id="1"/>
      <w:bookmarkEnd w:id="2"/>
      <w:bookmarkEnd w:id="3"/>
      <w:bookmarkEnd w:id="4"/>
    </w:p>
    <w:p w14:paraId="1DC7A352">
      <w:pPr>
        <w:pStyle w:val="9"/>
        <w:spacing w:before="0" w:beforeAutospacing="0" w:after="0" w:afterAutospacing="0" w:line="560" w:lineRule="exact"/>
        <w:ind w:firstLine="640" w:firstLineChars="200"/>
        <w:jc w:val="both"/>
        <w:rPr>
          <w:rFonts w:hint="eastAsia" w:ascii="方正仿宋_GBK" w:hAnsi="方正仿宋_GBK" w:eastAsia="方正仿宋_GBK" w:cs="方正仿宋_GBK"/>
          <w:color w:val="auto"/>
          <w:kern w:val="0"/>
          <w:sz w:val="32"/>
          <w:szCs w:val="32"/>
          <w:highlight w:val="none"/>
          <w:u w:val="none"/>
          <w:lang w:val="en-US" w:eastAsia="zh-CN" w:bidi="ar-SA"/>
        </w:rPr>
      </w:pPr>
      <w:bookmarkStart w:id="5" w:name="_Toc1457960740_WPSOffice_Level1"/>
      <w:bookmarkStart w:id="6" w:name="_Toc130954984_WPSOffice_Level1"/>
      <w:bookmarkStart w:id="7" w:name="_Toc691791141_WPSOffice_Level1"/>
      <w:bookmarkStart w:id="8" w:name="_Toc1417230469_WPSOffice_Level1"/>
      <w:r>
        <w:rPr>
          <w:rFonts w:hint="eastAsia" w:ascii="方正仿宋_GBK" w:hAnsi="方正仿宋_GBK" w:eastAsia="方正仿宋_GBK" w:cs="方正仿宋_GBK"/>
          <w:color w:val="auto"/>
          <w:kern w:val="0"/>
          <w:sz w:val="32"/>
          <w:szCs w:val="32"/>
          <w:highlight w:val="none"/>
          <w:u w:val="none"/>
          <w:lang w:val="en-US" w:eastAsia="zh-CN" w:bidi="ar-SA"/>
        </w:rPr>
        <w:t>2.</w:t>
      </w:r>
      <w:bookmarkEnd w:id="5"/>
      <w:bookmarkEnd w:id="6"/>
      <w:bookmarkEnd w:id="7"/>
      <w:bookmarkEnd w:id="8"/>
    </w:p>
    <w:p w14:paraId="0368D43D">
      <w:pPr>
        <w:pStyle w:val="9"/>
        <w:spacing w:before="0" w:beforeAutospacing="0" w:after="0" w:afterAutospacing="0" w:line="560" w:lineRule="exact"/>
        <w:ind w:firstLine="640" w:firstLineChars="200"/>
        <w:jc w:val="both"/>
        <w:rPr>
          <w:rFonts w:hint="eastAsia" w:ascii="方正仿宋_GBK" w:hAnsi="方正仿宋_GBK" w:eastAsia="方正仿宋_GBK" w:cs="方正仿宋_GBK"/>
          <w:color w:val="auto"/>
          <w:kern w:val="0"/>
          <w:sz w:val="32"/>
          <w:szCs w:val="32"/>
          <w:highlight w:val="none"/>
          <w:u w:val="none"/>
          <w:lang w:val="en-US" w:eastAsia="zh-CN" w:bidi="ar-SA"/>
        </w:rPr>
      </w:pPr>
      <w:r>
        <w:rPr>
          <w:rFonts w:hint="eastAsia" w:ascii="方正仿宋_GBK" w:hAnsi="方正仿宋_GBK" w:eastAsia="方正仿宋_GBK" w:cs="方正仿宋_GBK"/>
          <w:color w:val="auto"/>
          <w:kern w:val="0"/>
          <w:sz w:val="32"/>
          <w:szCs w:val="32"/>
          <w:highlight w:val="none"/>
          <w:u w:val="none"/>
          <w:lang w:val="en-US" w:eastAsia="zh-CN" w:bidi="ar-SA"/>
        </w:rPr>
        <w:t>如违反医疗保障基金监管法律、法规和规章规定，造成</w:t>
      </w:r>
      <w:r>
        <w:rPr>
          <w:rFonts w:hint="eastAsia" w:ascii="方正仿宋_GBK" w:hAnsi="方正仿宋_GBK" w:eastAsia="方正仿宋_GBK" w:cs="方正仿宋_GBK"/>
          <w:color w:val="auto"/>
          <w:kern w:val="0"/>
          <w:sz w:val="32"/>
          <w:szCs w:val="32"/>
          <w:highlight w:val="none"/>
          <w:u w:val="none"/>
          <w:lang w:val="en-US" w:eastAsia="zh-Hans" w:bidi="ar-SA"/>
        </w:rPr>
        <w:t>医疗保障</w:t>
      </w:r>
      <w:r>
        <w:rPr>
          <w:rFonts w:hint="eastAsia" w:ascii="方正仿宋_GBK" w:hAnsi="方正仿宋_GBK" w:eastAsia="方正仿宋_GBK" w:cs="方正仿宋_GBK"/>
          <w:color w:val="auto"/>
          <w:kern w:val="0"/>
          <w:sz w:val="32"/>
          <w:szCs w:val="32"/>
          <w:highlight w:val="none"/>
          <w:u w:val="none"/>
          <w:lang w:val="en-US" w:eastAsia="zh-CN" w:bidi="ar-SA"/>
        </w:rPr>
        <w:t>基金损失，愿承担法律责任。</w:t>
      </w:r>
    </w:p>
    <w:p w14:paraId="3CE2F5AE">
      <w:pPr>
        <w:pStyle w:val="9"/>
        <w:spacing w:before="0" w:beforeAutospacing="0" w:after="0" w:afterAutospacing="0" w:line="560" w:lineRule="exact"/>
        <w:jc w:val="both"/>
        <w:rPr>
          <w:rFonts w:hint="eastAsia" w:ascii="方正仿宋_GBK" w:hAnsi="方正仿宋_GBK" w:eastAsia="方正仿宋_GBK" w:cs="方正仿宋_GBK"/>
          <w:color w:val="auto"/>
          <w:kern w:val="0"/>
          <w:sz w:val="32"/>
          <w:szCs w:val="32"/>
          <w:highlight w:val="none"/>
          <w:u w:val="none"/>
          <w:lang w:val="en-US" w:eastAsia="zh-CN" w:bidi="ar-SA"/>
        </w:rPr>
      </w:pPr>
      <w:r>
        <w:rPr>
          <w:rFonts w:hint="eastAsia" w:ascii="方正仿宋_GBK" w:hAnsi="方正仿宋_GBK" w:eastAsia="方正仿宋_GBK" w:cs="方正仿宋_GBK"/>
          <w:color w:val="auto"/>
          <w:kern w:val="0"/>
          <w:sz w:val="32"/>
          <w:szCs w:val="32"/>
          <w:highlight w:val="none"/>
          <w:u w:val="none"/>
          <w:lang w:val="en-US" w:eastAsia="zh-CN" w:bidi="ar-SA"/>
        </w:rPr>
        <w:t xml:space="preserve">    法定代表人（负责人）签字：</w:t>
      </w:r>
    </w:p>
    <w:p w14:paraId="71D10690">
      <w:pPr>
        <w:pStyle w:val="9"/>
        <w:spacing w:before="0" w:beforeAutospacing="0" w:after="0" w:afterAutospacing="0" w:line="560" w:lineRule="exact"/>
        <w:jc w:val="both"/>
        <w:rPr>
          <w:rFonts w:hint="eastAsia" w:ascii="方正仿宋_GBK" w:hAnsi="方正仿宋_GBK" w:eastAsia="方正仿宋_GBK" w:cs="方正仿宋_GBK"/>
          <w:color w:val="auto"/>
          <w:kern w:val="0"/>
          <w:sz w:val="32"/>
          <w:szCs w:val="32"/>
          <w:highlight w:val="none"/>
          <w:u w:val="none"/>
          <w:lang w:val="en-US" w:eastAsia="zh-CN" w:bidi="ar-SA"/>
        </w:rPr>
      </w:pPr>
    </w:p>
    <w:p w14:paraId="293617BA">
      <w:pPr>
        <w:pStyle w:val="9"/>
        <w:spacing w:before="0" w:beforeAutospacing="0" w:after="0" w:afterAutospacing="0" w:line="560" w:lineRule="exact"/>
        <w:jc w:val="both"/>
        <w:rPr>
          <w:rFonts w:hint="eastAsia" w:ascii="方正仿宋_GBK" w:hAnsi="方正仿宋_GBK" w:eastAsia="方正仿宋_GBK" w:cs="方正仿宋_GBK"/>
          <w:color w:val="auto"/>
          <w:kern w:val="0"/>
          <w:sz w:val="32"/>
          <w:szCs w:val="32"/>
          <w:highlight w:val="none"/>
          <w:u w:val="none"/>
          <w:lang w:val="en-US" w:eastAsia="zh-CN" w:bidi="ar-SA"/>
        </w:rPr>
      </w:pPr>
    </w:p>
    <w:p w14:paraId="119BB5D0">
      <w:pPr>
        <w:pStyle w:val="9"/>
        <w:spacing w:before="0" w:beforeAutospacing="0" w:after="0" w:afterAutospacing="0" w:line="560" w:lineRule="exact"/>
        <w:jc w:val="both"/>
        <w:rPr>
          <w:rFonts w:hint="eastAsia" w:ascii="方正仿宋_GBK" w:hAnsi="方正仿宋_GBK" w:eastAsia="方正仿宋_GBK" w:cs="方正仿宋_GBK"/>
          <w:color w:val="auto"/>
          <w:kern w:val="0"/>
          <w:sz w:val="32"/>
          <w:szCs w:val="32"/>
          <w:highlight w:val="none"/>
          <w:u w:val="none"/>
          <w:lang w:val="en-US" w:eastAsia="zh-CN" w:bidi="ar-SA"/>
        </w:rPr>
      </w:pPr>
    </w:p>
    <w:p w14:paraId="7C62BC78">
      <w:pPr>
        <w:pStyle w:val="9"/>
        <w:spacing w:before="0" w:beforeAutospacing="0" w:after="0" w:afterAutospacing="0" w:line="560" w:lineRule="exact"/>
        <w:jc w:val="both"/>
        <w:rPr>
          <w:rFonts w:hint="eastAsia" w:ascii="方正仿宋_GBK" w:hAnsi="方正仿宋_GBK" w:eastAsia="方正仿宋_GBK" w:cs="方正仿宋_GBK"/>
          <w:color w:val="auto"/>
          <w:kern w:val="0"/>
          <w:sz w:val="32"/>
          <w:szCs w:val="32"/>
          <w:highlight w:val="none"/>
          <w:u w:val="none"/>
          <w:lang w:val="en-US" w:eastAsia="zh-CN" w:bidi="ar-SA"/>
        </w:rPr>
      </w:pPr>
    </w:p>
    <w:p w14:paraId="160B9917">
      <w:pPr>
        <w:pStyle w:val="9"/>
        <w:spacing w:before="0" w:beforeAutospacing="0" w:after="0" w:afterAutospacing="0" w:line="560" w:lineRule="exact"/>
        <w:jc w:val="both"/>
        <w:rPr>
          <w:rFonts w:hint="eastAsia" w:ascii="方正仿宋_GBK" w:hAnsi="方正仿宋_GBK" w:eastAsia="方正仿宋_GBK" w:cs="方正仿宋_GBK"/>
          <w:color w:val="auto"/>
          <w:kern w:val="0"/>
          <w:sz w:val="32"/>
          <w:szCs w:val="32"/>
          <w:highlight w:val="none"/>
          <w:u w:val="none"/>
          <w:lang w:val="en-US" w:eastAsia="zh-CN" w:bidi="ar-SA"/>
        </w:rPr>
      </w:pPr>
      <w:r>
        <w:rPr>
          <w:rFonts w:hint="eastAsia" w:ascii="方正仿宋_GBK" w:hAnsi="方正仿宋_GBK" w:eastAsia="方正仿宋_GBK" w:cs="方正仿宋_GBK"/>
          <w:color w:val="auto"/>
          <w:kern w:val="0"/>
          <w:sz w:val="32"/>
          <w:szCs w:val="32"/>
          <w:highlight w:val="none"/>
          <w:u w:val="none"/>
          <w:lang w:val="en-US" w:eastAsia="zh-CN" w:bidi="ar-SA"/>
        </w:rPr>
        <w:t xml:space="preserve">                           单位名称（印章）</w:t>
      </w:r>
    </w:p>
    <w:p w14:paraId="2EFAFC08">
      <w:pPr>
        <w:pStyle w:val="9"/>
        <w:spacing w:before="0" w:beforeAutospacing="0" w:after="0" w:afterAutospacing="0" w:line="560" w:lineRule="exact"/>
        <w:jc w:val="both"/>
        <w:rPr>
          <w:rFonts w:hint="eastAsia" w:ascii="方正仿宋_GBK" w:hAnsi="方正仿宋_GBK" w:eastAsia="方正仿宋_GBK" w:cs="方正仿宋_GBK"/>
          <w:color w:val="auto"/>
          <w:kern w:val="0"/>
          <w:sz w:val="32"/>
          <w:szCs w:val="32"/>
          <w:highlight w:val="none"/>
          <w:u w:val="none"/>
          <w:lang w:val="en-US" w:eastAsia="zh-CN" w:bidi="ar-SA"/>
        </w:rPr>
      </w:pPr>
      <w:r>
        <w:rPr>
          <w:rFonts w:hint="eastAsia" w:ascii="方正仿宋_GBK" w:hAnsi="方正仿宋_GBK" w:eastAsia="方正仿宋_GBK" w:cs="方正仿宋_GBK"/>
          <w:color w:val="auto"/>
          <w:kern w:val="0"/>
          <w:sz w:val="32"/>
          <w:szCs w:val="32"/>
          <w:highlight w:val="none"/>
          <w:u w:val="none"/>
          <w:lang w:val="en-US" w:eastAsia="zh-CN" w:bidi="ar-SA"/>
        </w:rPr>
        <w:t xml:space="preserve">                               年  月  日</w:t>
      </w:r>
    </w:p>
    <w:p w14:paraId="230EAB8A">
      <w:pPr>
        <w:tabs>
          <w:tab w:val="left" w:pos="1015"/>
        </w:tabs>
        <w:bidi w:val="0"/>
        <w:jc w:val="left"/>
        <w:rPr>
          <w:rFonts w:hint="default"/>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8619A5F">
      <w:pPr>
        <w:pStyle w:val="2"/>
        <w:ind w:left="0" w:leftChars="0" w:firstLine="0" w:firstLineChars="0"/>
      </w:pPr>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4F82">
    <w:pPr>
      <w:pStyle w:val="3"/>
      <w:pBdr>
        <w:top w:val="none" w:color="000000" w:sz="0" w:space="0"/>
        <w:left w:val="none" w:color="auto" w:sz="0" w:space="0"/>
        <w:bottom w:val="none" w:color="auto" w:sz="0" w:space="0"/>
        <w:right w:val="none" w:color="auto" w:sz="0" w:space="0"/>
        <w:between w:val="none" w:color="auto" w:sz="0" w:space="0"/>
      </w:pBdr>
      <w:spacing w:before="120" w:beforeLines="50" w:after="120" w:afterLines="50"/>
      <w:rPr>
        <w:rFonts w:hint="eastAsia" w:ascii="方正仿宋_GBK" w:hAnsi="方正仿宋_GBK" w:eastAsia="方正仿宋_GBK" w:cs="方正仿宋_GBK"/>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F16C61">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47F16C61">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457D">
    <w:pPr>
      <w:pStyle w:val="4"/>
      <w:keepNext w:val="0"/>
      <w:keepLines w:val="0"/>
      <w:pageBreakBefore w:val="0"/>
      <w:widowControl w:val="0"/>
      <w:pBdr>
        <w:bottom w:val="none" w:color="auto" w:sz="0" w:space="1"/>
      </w:pBdr>
      <w:tabs>
        <w:tab w:val="left" w:pos="2958"/>
        <w:tab w:val="clear" w:pos="4153"/>
      </w:tabs>
      <w:kinsoku/>
      <w:wordWrap/>
      <w:overflowPunct/>
      <w:topLinePunct w:val="0"/>
      <w:autoSpaceDE/>
      <w:autoSpaceDN/>
      <w:bidi w:val="0"/>
      <w:adjustRightInd/>
      <w:snapToGrid w:val="0"/>
      <w:spacing w:after="0" w:line="360" w:lineRule="auto"/>
      <w:jc w:val="center"/>
      <w:textAlignment w:val="auto"/>
      <w:rPr>
        <w:rFonts w:hint="eastAsia" w:ascii="方正仿宋_GBK" w:hAnsi="方正仿宋_GBK" w:eastAsia="方正仿宋_GBK" w:cs="方正仿宋_GBK"/>
        <w:b w:val="0"/>
        <w:bCs/>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CFE87"/>
    <w:multiLevelType w:val="singleLevel"/>
    <w:tmpl w:val="BF5CFE87"/>
    <w:lvl w:ilvl="0" w:tentative="0">
      <w:start w:val="1"/>
      <w:numFmt w:val="decimal"/>
      <w:lvlText w:val="%1."/>
      <w:lvlJc w:val="left"/>
      <w:pPr>
        <w:tabs>
          <w:tab w:val="left" w:pos="312"/>
        </w:tabs>
      </w:pPr>
    </w:lvl>
  </w:abstractNum>
  <w:abstractNum w:abstractNumId="1">
    <w:nsid w:val="57FAB65B"/>
    <w:multiLevelType w:val="singleLevel"/>
    <w:tmpl w:val="57FAB65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F7DEEE"/>
    <w:rsid w:val="04FE39F7"/>
    <w:rsid w:val="07D31DDD"/>
    <w:rsid w:val="0F45018B"/>
    <w:rsid w:val="15235D99"/>
    <w:rsid w:val="1553CE07"/>
    <w:rsid w:val="192C1EF2"/>
    <w:rsid w:val="25CF1DF8"/>
    <w:rsid w:val="25D7CE04"/>
    <w:rsid w:val="2EF822D8"/>
    <w:rsid w:val="32F7FF0C"/>
    <w:rsid w:val="33B10D3C"/>
    <w:rsid w:val="35040F15"/>
    <w:rsid w:val="3705164D"/>
    <w:rsid w:val="37B64B26"/>
    <w:rsid w:val="3AFF6111"/>
    <w:rsid w:val="3EDF01C4"/>
    <w:rsid w:val="3FE94294"/>
    <w:rsid w:val="435C2CDD"/>
    <w:rsid w:val="52FCF78D"/>
    <w:rsid w:val="55681821"/>
    <w:rsid w:val="55FC4B7B"/>
    <w:rsid w:val="56BB63BC"/>
    <w:rsid w:val="5BFF7D9E"/>
    <w:rsid w:val="5C4C3CFA"/>
    <w:rsid w:val="5E7F0F60"/>
    <w:rsid w:val="5EAF6BF2"/>
    <w:rsid w:val="5EBD622A"/>
    <w:rsid w:val="65120EB5"/>
    <w:rsid w:val="65B603E6"/>
    <w:rsid w:val="6CDD1718"/>
    <w:rsid w:val="6D7F926B"/>
    <w:rsid w:val="6E7BC01D"/>
    <w:rsid w:val="6FBDE746"/>
    <w:rsid w:val="733E927F"/>
    <w:rsid w:val="73EF38F4"/>
    <w:rsid w:val="782A3DBC"/>
    <w:rsid w:val="7AAB7407"/>
    <w:rsid w:val="7AFB7EEF"/>
    <w:rsid w:val="7DFAAD44"/>
    <w:rsid w:val="7DFB80D0"/>
    <w:rsid w:val="7F2FB882"/>
    <w:rsid w:val="7F8D9238"/>
    <w:rsid w:val="97DEFA16"/>
    <w:rsid w:val="9D6792CD"/>
    <w:rsid w:val="9DFEF46B"/>
    <w:rsid w:val="9ECF487D"/>
    <w:rsid w:val="9FFBCA51"/>
    <w:rsid w:val="AA0FABDF"/>
    <w:rsid w:val="AFF7DEEE"/>
    <w:rsid w:val="B62F8137"/>
    <w:rsid w:val="B71DF62E"/>
    <w:rsid w:val="BBB224B2"/>
    <w:rsid w:val="BBDFA817"/>
    <w:rsid w:val="BFAE3269"/>
    <w:rsid w:val="C96F87C7"/>
    <w:rsid w:val="CFEDDBF8"/>
    <w:rsid w:val="CFFBC33D"/>
    <w:rsid w:val="D3FDB542"/>
    <w:rsid w:val="D576024E"/>
    <w:rsid w:val="DA35EB65"/>
    <w:rsid w:val="DE5F612D"/>
    <w:rsid w:val="DFF24935"/>
    <w:rsid w:val="DFFB8C17"/>
    <w:rsid w:val="E77C0DA2"/>
    <w:rsid w:val="EAAD667D"/>
    <w:rsid w:val="ED2B47AE"/>
    <w:rsid w:val="EEE6A782"/>
    <w:rsid w:val="EF1AA778"/>
    <w:rsid w:val="EF67A454"/>
    <w:rsid w:val="EFD3908F"/>
    <w:rsid w:val="F3FFDE8C"/>
    <w:rsid w:val="F7CF2A86"/>
    <w:rsid w:val="F7FA3A8E"/>
    <w:rsid w:val="FABF7D2D"/>
    <w:rsid w:val="FDED15CB"/>
    <w:rsid w:val="FDED69CE"/>
    <w:rsid w:val="FEFA554B"/>
    <w:rsid w:val="FF9FFFD7"/>
    <w:rsid w:val="FFCFC55A"/>
    <w:rsid w:val="FFFA8158"/>
    <w:rsid w:val="FFFDA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3133</Words>
  <Characters>3193</Characters>
  <Lines>0</Lines>
  <Paragraphs>0</Paragraphs>
  <TotalTime>22</TotalTime>
  <ScaleCrop>false</ScaleCrop>
  <LinksUpToDate>false</LinksUpToDate>
  <CharactersWithSpaces>3332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2025-01-27T00:08:00Z</dcterms:created>
  <dc:creator>huawei</dc:creator>
  <cp:lastModifiedBy>HuGuanfa</cp:lastModifiedBy>
  <cp:lastPrinted>2025-05-14T08:02:21Z</cp:lastPrinted>
  <dcterms:modified xsi:type="dcterms:W3CDTF">2025-05-13T09:21:42Z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69256706F68646E398B9AA5ADC104E5D_13</vt:lpwstr>
  </property>
  <property fmtid="{D5CDD505-2E9C-101B-9397-08002B2CF9AE}" pid="4" name="KSOTemplateDocerSaveRecord">
    <vt:lpwstr>eyJoZGlkIjoiNzQxMmQ5NDYzNjEwZWNiNDlhNDM4ZTFhMzRjMDNhZWUiLCJ1c2VySWQiOiIxMzg4MjE5MjUwIn0=</vt:lpwstr>
  </property>
  <property fmtid="{D5CDD505-2E9C-101B-9397-08002B2CF9AE}" pid="5" name="woTemplateTypoMode">
    <vt:lpwstr>web</vt:lpwstr>
  </property>
  <property fmtid="{D5CDD505-2E9C-101B-9397-08002B2CF9AE}" pid="6" name="woTemplate">
    <vt:r8>1</vt:r8>
  </property>
</Properties>
</file>