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Calibri" w:hAnsi="Calibri" w:cs="Calibri"/>
          <w:sz w:val="21"/>
          <w:szCs w:val="21"/>
        </w:rPr>
      </w:pPr>
      <w:r>
        <w:rPr>
          <w:rFonts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br w:type="textWrapping"/>
      </w: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赣州市人民政府办公室关于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印发赣州市食品产业高质量发展三年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行动方案（2023-2025年）的通知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赣市府办字〔2023〕42 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各县（市、区）人民政府，市政府有关部门，市属、驻市有关单位：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《赣州市食品产业高质量发展三年行动方案(2023-2025年)》已经市政府研究同意，现印发给你们，请结合实际认真贯彻落实。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shd w:val="clear" w:fill="FFFFFF"/>
        <w:ind w:left="0" w:firstLine="0"/>
        <w:jc w:val="left"/>
        <w:rPr>
          <w:rFonts w:ascii="微软雅黑" w:hAnsi="微软雅黑" w:eastAsia="微软雅黑" w:cs="微软雅黑"/>
          <w:i w:val="0"/>
          <w:iCs w:val="0"/>
          <w:caps w:val="0"/>
          <w:color w:val="333333"/>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                                 2023年4月26日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赣州市食品产业高质量发展三年行动方案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（2023-2025年）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为加快我市食品产业高质量发展，推动工业倍增升级，结合我市实际，制定本方案。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一</w:t>
      </w: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、发展</w:t>
      </w:r>
      <w:r>
        <w:rPr>
          <w:rFonts w:hint="eastAsia" w:ascii="黑体" w:hAnsi="宋体" w:eastAsia="黑体" w:cs="黑体"/>
          <w:b w:val="0"/>
          <w:bCs w:val="0"/>
          <w:i w:val="0"/>
          <w:iCs w:val="0"/>
          <w:caps w:val="0"/>
          <w:color w:val="333333"/>
          <w:spacing w:val="0"/>
          <w:kern w:val="0"/>
          <w:sz w:val="28"/>
          <w:szCs w:val="28"/>
          <w:bdr w:val="none" w:color="auto" w:sz="0" w:space="0"/>
          <w:shd w:val="clear" w:fill="FFFFFF"/>
          <w:lang w:val="en-US" w:eastAsia="zh-CN" w:bidi="ar"/>
        </w:rPr>
        <w:t>目标和重点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（一）发展目标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以河东片区为食品产业重点发展区，其他县（市、区）为食品产业特色发展区，整合本地资源，强力招引国内外食品产业头部企业，深入实施增品种、提品质、创品牌“三品”战略，推动食品产业发展规模化、产品品牌化、营销现代化，打造特色鲜明、国内有影响力的食品产业集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——产业规模稳步扩大。</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力争到2025年，全市食品产业规模以上食品工业企业营业收入突破400亿元〔各县（市、区）食品产业倍增升级指导目标见附件1</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，其中营收超10亿元企业10家，超5亿元企业30家。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——产业结构不断优化。</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农副食品加工业、食品制造业、酒饮料和精制茶制造业比重进一步协调，精深加工程度进一步提高，高品质产品供给多样，从原料生产到食品流通全链条协同运作、高效便捷的食品供应链体系基本形成。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——品牌影响持续提升。</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企业品牌意识不断增强，品牌管理体系继续完善，培育壮大一批全国知名、竞争力强、信誉度高的“赣南”品牌。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——产业生态不断完善。</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线上线下营销深度融合，冷链物流体系基本形成，跨界融合、服务型制造等新业态新模式加快发展，初步形成各要素环环相扣、利益共同体相互赋能的食品产业生态圈。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（二）发展重点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1.巩固壮大优势产业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一是饲料加工业。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发挥全市饲料产业基础好、生猪养殖量大、国际陆港原料运输便捷</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等优势，支持现有重点企业做大做强，鼓励企业向饲料原料生产、畜牧水产养殖、畜禽屠宰、食品加工等领域延伸发展，做大做强饲料产业规模。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二是果蔬加工业。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发挥全市果蔬资源丰富、品牌效应强的优势，加快赣南脐橙、寻乌蜜桔、石城白莲、崇义刺葡萄和南酸枣等原料基地建设，大力发展脐橙鲜果分级包装、智能分选业，突出发展高品质蔬菜、食用菌、辣椒等加工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三是粮食加工业。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发挥全市粮食加工能力较强的优势，</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加快发展优质米、专用米、营养强化米、米制方便食品、休闲食品等产品，支持米粉重点企业扩大生产规模，延伸产业链，推动</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米粉产业向精深加工和特色化、产业化、集群化方向发展</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四是富硒食品加工业。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立足赣州天然富硒资源禀赋，围绕打造富硒高标准示范基地和培育涉硒龙头企业，构建富硒检测认证体系、科研标准体系、品牌营销体系、服务支撑体系等四大体系。聚焦富硒脐橙、富硒蔬菜、富硒水稻、富硒高山茶、富硒禽蛋等特色产业，加快富硒精深加工产品研发，开发富硒休闲食品、功能性食品等高附加值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2.加快提升成长产业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一是肉制品加工业。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强畜禽、水产等养殖基地建设，提高工业化屠宰集中度，提升南安板鸭、兴国灰鹅、宁都黄鸡等地理标志产品影响力，稳步扩张猪肉、禽类、水产加工生产规模，大力发展卤制食品、腌腊肉制品、烤熳，推动熟食产品应用即食包装、小包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二是油茶加工业。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积极引进中林集团等央</w:t>
      </w:r>
      <w:r>
        <w:rPr>
          <w:rFonts w:hint="eastAsia" w:ascii="仿宋_GB2312" w:hAnsi="宋体" w:eastAsia="仿宋_GB2312" w:cs="仿宋_GB2312"/>
          <w:b w:val="0"/>
          <w:bCs w:val="0"/>
          <w:i w:val="0"/>
          <w:iCs w:val="0"/>
          <w:caps w:val="0"/>
          <w:color w:val="333333"/>
          <w:spacing w:val="0"/>
          <w:kern w:val="0"/>
          <w:sz w:val="28"/>
          <w:szCs w:val="28"/>
          <w:bdr w:val="none" w:color="auto" w:sz="0" w:space="0"/>
          <w:shd w:val="clear" w:fill="FFFFFF"/>
          <w:lang w:val="en-US" w:eastAsia="zh-CN" w:bidi="ar"/>
        </w:rPr>
        <w:t>企</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在赣州投资建设茶油大型</w:t>
      </w:r>
      <w:r>
        <w:rPr>
          <w:rFonts w:hint="eastAsia" w:ascii="仿宋_GB2312" w:hAnsi="宋体" w:eastAsia="仿宋_GB2312" w:cs="仿宋_GB2312"/>
          <w:b w:val="0"/>
          <w:bCs w:val="0"/>
          <w:i w:val="0"/>
          <w:iCs w:val="0"/>
          <w:caps w:val="0"/>
          <w:color w:val="333333"/>
          <w:spacing w:val="0"/>
          <w:kern w:val="0"/>
          <w:sz w:val="28"/>
          <w:szCs w:val="28"/>
          <w:bdr w:val="none" w:color="auto" w:sz="0" w:space="0"/>
          <w:shd w:val="clear" w:fill="FFFFFF"/>
          <w:lang w:val="en-US" w:eastAsia="zh-CN" w:bidi="ar"/>
        </w:rPr>
        <w:t>加工企业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推进油茶资源培育和茶油精深加工，研发生产纯压榨茶油、高油酸茶油等细分品类茶油和茶皂素、茶粕等茶油副产品，以及茶油精油、抑菌产品、化妆品、保健食品等精深加工产品</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促进茶油品类多元化，油茶加工产品多样化、高值化。</w:t>
      </w:r>
      <w:r>
        <w:rPr>
          <w:rFonts w:hint="eastAsia"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w:t>
      </w:r>
      <w:r>
        <w:rPr>
          <w:rFonts w:hint="eastAsia" w:ascii="楷体_GB2312" w:hAnsi="Calibri" w:eastAsia="楷体_GB2312" w:cs="楷体_GB2312"/>
          <w:i w:val="0"/>
          <w:iCs w:val="0"/>
          <w:caps w:val="0"/>
          <w:color w:val="000000"/>
          <w:spacing w:val="0"/>
          <w:kern w:val="0"/>
          <w:sz w:val="28"/>
          <w:szCs w:val="28"/>
          <w:bdr w:val="none" w:color="auto" w:sz="0" w:space="0"/>
          <w:shd w:val="clear" w:fill="FFFFFF"/>
          <w:lang w:val="en-US" w:eastAsia="zh-CN" w:bidi="ar"/>
        </w:rPr>
        <w:t>赣州市油茶产业高质量发展三年行动方案由市林业局牵头制定〕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三是乳制品加工业。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加强</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优质奶源基地建设，大力发展乳酸菌饮品、乳饮料、蛋白饮料等主导产品，鼓励发展巴氏杀菌乳、发酵乳、乳酪、乳清粉等高品质乳制品。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四是酒饮料制造业。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大力发展白酒、果酒、果汁、饮用水制造，提高“章贡王”“百丈泉”“君子谷”等品牌的影响力，提升产品附加值。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五是茶叶加工业。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建设高标准茶叶加工基地，大力发展</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绿茶、红茶、白茶、花茶、袋泡茶、速溶茶等各类精制茶</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，以及茶保健品、护肤品等功能型产品，打造五指峰、小布岩、武夷源等名优品牌，唱响“赣南高山(硒)茶”区域公用品牌，推进茶产业与生态旅游、文化创意、休闲康养等产业融合发展。</w:t>
      </w:r>
      <w:r>
        <w:rPr>
          <w:rFonts w:hint="eastAsia"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〔茶叶加工业按照《关于加快赣南高山茶高质量发展的若干意见》</w:t>
      </w:r>
      <w:r>
        <w:rPr>
          <w:rFonts w:hint="eastAsia" w:ascii="楷体_GB2312" w:hAnsi="Calibri" w:eastAsia="楷体_GB2312" w:cs="楷体_GB2312"/>
          <w:i w:val="0"/>
          <w:iCs w:val="0"/>
          <w:caps w:val="0"/>
          <w:color w:val="000000"/>
          <w:spacing w:val="0"/>
          <w:kern w:val="0"/>
          <w:sz w:val="28"/>
          <w:szCs w:val="28"/>
          <w:bdr w:val="none" w:color="auto" w:sz="0" w:space="0"/>
          <w:shd w:val="clear" w:fill="FFFFFF"/>
          <w:lang w:val="en-US" w:eastAsia="zh-CN" w:bidi="ar"/>
        </w:rPr>
        <w:t>（赣市府办发〔2023〕4号）文件要求落实〕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3.全力招引风口产业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一是预制菜加工业。</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引导现有农副食品加工、食品制造、畜禽屠宰和餐饮企业发挥各自优势，延伸发展预制菜加工业。引进、培育一批头部企业和产业链上下游配套企业。围绕国内外主要菜系和地方风味，结合赣南客家地域特色和传统，重点发展即热型、即烹型、即食型、复合型预制菜系列产品。</w:t>
      </w:r>
      <w:r>
        <w:rPr>
          <w:rFonts w:hint="eastAsia" w:ascii="楷体_GB2312" w:hAnsi="Calibri" w:eastAsia="楷体_GB2312" w:cs="楷体_GB2312"/>
          <w:i w:val="0"/>
          <w:iCs w:val="0"/>
          <w:caps w:val="0"/>
          <w:color w:val="000000"/>
          <w:spacing w:val="0"/>
          <w:kern w:val="0"/>
          <w:sz w:val="28"/>
          <w:szCs w:val="28"/>
          <w:bdr w:val="none" w:color="auto" w:sz="0" w:space="0"/>
          <w:shd w:val="clear" w:fill="FFFFFF"/>
          <w:lang w:val="en-US" w:eastAsia="zh-CN" w:bidi="ar"/>
        </w:rPr>
        <w:t>〔预制菜产业按照《赣州市推进预制菜产业发展三年行动方案（2023-2025年）》（赣市府办字〔2022〕115号）文件要求落实〕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二是方便休闲食品业。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加强方便休闲食品口味、品质、包装、以及便捷性研发，引进一批国内外知名企业，培育一批细分领域龙头企业，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大力发展</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鸡、鸭、鹅等禽类高档休闲熟食产品，积极开发冻干果蔬、代餐粉、膨化谷物、能量棒等高附加值食品，积极发展健康营养、个性化焙烤食品，加快发展南酸枣糕、红薯干、多味花生、豆干等地方特色休闲食品。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三是未来食品产业。</w:t>
      </w:r>
      <w:r>
        <w:rPr>
          <w:rFonts w:hint="eastAsia" w:ascii="仿宋_GB2312" w:hAnsi="Calibri" w:eastAsia="仿宋_GB2312" w:cs="仿宋_GB2312"/>
          <w:b w:val="0"/>
          <w:bCs w:val="0"/>
          <w:i w:val="0"/>
          <w:iCs w:val="0"/>
          <w:caps w:val="0"/>
          <w:color w:val="000000"/>
          <w:spacing w:val="0"/>
          <w:kern w:val="0"/>
          <w:sz w:val="28"/>
          <w:szCs w:val="28"/>
          <w:bdr w:val="none" w:color="auto" w:sz="0" w:space="0"/>
          <w:shd w:val="clear" w:fill="FFFFFF"/>
          <w:lang w:val="en-US" w:eastAsia="zh-CN" w:bidi="ar"/>
        </w:rPr>
        <w:t>紧盯食品组学、食品合成生物学、食品感知科学、食品精准营养、食品纳米技术、食品增材制造等食品科技，鼓励</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研究开发</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植物基</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和新资源食品</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经功能设计的纳米</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技术应用</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食品、食品与文化结合的创意食品、食品与生态相结合的绿色生态食品</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、药食同源食品</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等未来食品。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二、主要任务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left"/>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（一）实施招大引强工程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1.瞄准重点区域。</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围绕大湾区、长三角、福建、山东等重点区域，瞄准世界500强、中国500强、民企500强重点企业以及细分领域优势企业，突出招大引强、招精引优，深化对接现有合作伙伴挖掘招商资源，推广产业链招商、以商招商、协会招商等招商新模式，实现集群式引进、链条式承接。对符合条件的新引进投资项目，给予招商引资政策补助。重点县（市、区）要组建食品产业招商工作专班，</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力争全市每年引进20亿元以上项目1个、5亿元以上项目5个、亿元以上项目15个。</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〔责任单位：市商务局、市工信局、市农业农村局、市林业局、市果业发展中心，各县（市、区）人民政府、赣州经开区管委会〕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2.紧盯风口及重点领域。</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重点在预制菜、方便休闲食品、未来食品等风口领域，以及粮油、果蔬、畜禽、酒、饮料、乳制品加工制造等体量大、附加值高领域，精准引进一批重大项目落地。重点引培一批技术先进、创新能力强的优势食品精深加工企业“强链”，着力引育一批食品包装、冷链物流和营销等领域头部企业“补链”，引导食品加工及副产物利用向保健品、化妆品等行业“延链”。</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〔责任单位：市商务局、市工信局、市农业农村局、市林业局、市果业发展中心，各县（市、区）人民政府、赣州经开区管委会〕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（二）实施培优扶强工程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1.突出技改升级。</w:t>
      </w:r>
      <w:r>
        <w:rPr>
          <w:rFonts w:hint="eastAsia" w:ascii="仿宋_GB2312" w:hAnsi="Calibri" w:eastAsia="仿宋_GB2312" w:cs="仿宋_GB2312"/>
          <w:b w:val="0"/>
          <w:bCs w:val="0"/>
          <w:i w:val="0"/>
          <w:iCs w:val="0"/>
          <w:caps w:val="0"/>
          <w:color w:val="000000"/>
          <w:spacing w:val="0"/>
          <w:kern w:val="0"/>
          <w:sz w:val="28"/>
          <w:szCs w:val="28"/>
          <w:bdr w:val="none" w:color="auto" w:sz="0" w:space="0"/>
          <w:shd w:val="clear" w:fill="FFFFFF"/>
          <w:lang w:val="en-US" w:eastAsia="zh-CN" w:bidi="ar"/>
        </w:rPr>
        <w:t>鼓励食品企业引进转化智能装备、绿色包装、立体仓储、线上检测仪器等先进装备和质检技术，</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培育智能工厂、数字车间</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对规模以上食品工业企业已竣工的符合国家产业政策并列入国家统计库的技术改造项目，购买用于研发、生产、检验检测等软件、设备和土建投资额达600万元，给予6%一次性资金奖补，单个企业补助总额不超过60万元。鼓励食品企业数字化转型、智能化升级，对通过国家智能制造能力成熟度评估企业按照相应政策予以奖励。</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〔责任单位：市工信局、市财政局，各县（市、区）人民政府、赣州经开区管委会〕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2.突出扶优扶强。</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推动企业梯队培育，按照“个转企、小升规、规转股、股上市”路径，不断壮大企业规模、提升企业能级。</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推动龙头企业做大做强，聚集资源要素大力培育龙头骨干企业，鼓励优势企业通过</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兼并、重组等方式整合资源要素，逐步发展成为行业领军企业，支持企业在多层次资本市场挂牌上市。</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推动中小企业做优做精，鼓励企业专注细分领域，持续开展技术研发、工艺升级，形成一批主营业务突出、竞争力强、成长性高的“专精特新”企业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（重点食品企业倍增升级指导目标见附件2）。对首次认定为国家级制造业单项冠军或专精特新“小巨人”企业，一次性奖励50万元；对首次认定为省级制造业单项冠军或专业化小巨人企业，一次性奖励20万元。</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〔责任单位：市工信局、市财政局、市农业农村局、市林业局、市果业发展中心、市政府金融办，各县（市、区）人民政府、赣州经开区管委会〕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3.突出转企升规。</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对产能逐渐提高、规模不断扩大</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、符合法定条件</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的食品加工小作坊，引导帮助其申办食品加工许可证，转型升级为食品生产企业，推动食品加工小作坊整合创办生产企业。对符合市场导向、成长性好、创新性强、发展前景广阔的小微企业，加强政策扶持和指导服务，培育扶持一批小微企业升规入统。鼓励各县（市、区）对升规入统的食品企业在财税奖励、厂房用地、信贷融资等方面予以政策扶持。力争到2025年，新增规上企业100家，新获得食品生产许可证企业100家。</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〔责任单位：市工信局、市财政局、市农业农村局、市林业局、市市场监管局、市行政审批局、市果业发展中心，各县（市、区）人民政府、赣州经开区管委会〕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（三）实施平台支撑工程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1.搭建承载平台。</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支持各县（市、区）以“园中园”模式在现有工业园区内建设食品产业园或食品加工集聚区。以龙头企业、食品产业园、聚集区为依托，引导中小微食品企业入园发展，加速形成集聚效应。加快完善配套基础设施和公共服务设施，高标准建设符合食品工业要求的标准厂房，引导包装、检测、冷链物流等配套企业落户，提升园区综合承载能力。力争到2025年，打造1个国家新型工业化产业示范基地，3-4个省级新型工业化产业（示范）基地。</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〔责任单位：市工信局、市农业农村局、市林业局、市供销联社、市果业发展中心，各县（市、区）人民政府、赣州经开区管委会〕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2.搭建创新平台。</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依托赣州市产业技术研究院，开展食品产业</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政策研究、产业运行分析与预测、信息查询等服务，服务企业创新、引领产业升级。</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发挥市内外高校和科研院所食品学科技术力量，探索多种形式的产学研用联合创新机制，鼓励食品企业创建技术创新中心、企业技术中心、制造业创新中心等创新平台，加强基础研究和关键共性技术协同攻关。围绕传统食品的方便化、功能化、个性化和多样化开发创新，满足消费者对风味、营养、健康方面需求。加快果蔬加工、预制菜加工等食品装备领域制造业创新能力培育。</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〔责任单位：市科技局、市工信局、市农业农村局、市林业局、市果业发展中心、赣南科学院，各县（市、区）人民政府、赣州经开区管委会〕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3.完善检测平台。</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推进市、县食品检测中心建设和检测能力建设，整合县级现有资源，力争到2025年底，全市形成以市综合检验检测院为龙头，以瑞金、龙南、安远等区域性检验检测中心为骨干，快检车、快检室为基础的食品和食用农产品检测网络，通过增资质扩项目来提升现有机构的检验检测能力。积极引进第三方检测机构，为企业提供多样化的检测服务。</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〔责任单位：市市场监管局、市农业农村局、市科技局，各县（市、区）人民政府、赣州经开区管委会〕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（四）实施品牌创建工程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1.做强区域品牌。</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建立健全区域品牌运营、品牌管理、品牌应用体系，深入挖掘“赣南脐橙”“赣南茶油”</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“赣南高山（硒）茶”</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品牌独特价值，整合打造客家预制菜、东江源矿泉水区域品牌，培育提升区域品牌公共形象。探索区域品牌赋能产业发展模式，将区域品牌优势转化为产品价值优势，形成产业发展优势。</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〔责任单位：市农业农村局、市市场监管局、市林业局、市工信局、市果业发展中心，各县（市、区）人民政府、赣州经开区管委会〕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2.培育知名品牌。</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强化企业品牌发展和竞争意识，</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培育</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一批具有广泛影响力和持久生命力</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产品叫得响、消费者认可的知名品牌</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。鼓励企业开展绿色食品、有机食品、富硒产品认证，积极推动地理标志产品、全国名特优新农产品、“赣出精品”申报认定。</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支持赣州产优质食品申报</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《赣州市名优创新产品推荐目录》，在政府投资项目、使用财政性资金采购类项目、国有企事业单位采购项目以及政府主导的基础设施、公共产品和公益性项目鼓励选用《目录》产品。</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力争到2025年，</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全市新增绿色（有机）食品100个。</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〔责任单位：市农业农村局、市市场监管局、市工信局、市商务局、市林业局、市果业发展中心，各县（市、区）人民政府、赣州经开区管委会〕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3.打造标准体系。</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立足保证安全、规范生产、提高质量，支持食品企业参与国际标准、国家标准、行业标准制（修）定，鼓励标杆企业制定高于国际、国家和行业标准的企业标准。推动企业使用数字化、智能化和绿色化技术与质量管理融合，提高产品质量、技术含量，推荐优秀企业参加“质量标杆”评选活动。</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〔责任单位：市市场监管局、市工信局、市卫健委、市农业农村局、市林业局、市果业发展中心、赣南科学院，各县（市、区）人民政府、赣州经开区管委会〕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（五）实施生态圈打造工程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1.创新营销模式。</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鼓励企业加强网络营销渠道建设，拓展品牌网上知名度，促进线上线下品牌价值协同发展。</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引导企业发展“互联网</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零售”“设计</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用户”“制造</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电商”“营销</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社交”等创新模式，发展“生鲜电商</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冷链宅配”“中央厨房</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食材冷链配送”等“宅消费”模式，形成多层次、广覆盖、高效率的营销体系，对接用户个性化需求，拓展新的增长点。</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加强食品包装“颜值”和创意研发，推动食品包装向方便挑选、方便携带、方便使用发展，实现艺术性和实用性相统一。</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充分利用新媒体和自媒体，</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用艺术形式讲述食品故事，</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打造“网红食品”。</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鼓励各县（市、区）对食品工业企业入驻大型连锁商超，在天猫、京东、抖音等网络平台设立旗舰店，上架产品予以政策扶持。</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〔责任单位：市商务局、市工信局、市农业农村局、市供销联社，各县（市、区）人民政府、赣州经开区管委会〕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2.完善物流配套。</w:t>
      </w:r>
      <w:r>
        <w:rPr>
          <w:rFonts w:hint="eastAsia" w:ascii="仿宋_GB2312" w:hAnsi="Calibri" w:eastAsia="仿宋_GB2312" w:cs="仿宋_GB2312"/>
          <w:b w:val="0"/>
          <w:bCs w:val="0"/>
          <w:i w:val="0"/>
          <w:iCs w:val="0"/>
          <w:caps w:val="0"/>
          <w:color w:val="000000"/>
          <w:spacing w:val="0"/>
          <w:kern w:val="0"/>
          <w:sz w:val="28"/>
          <w:szCs w:val="28"/>
          <w:bdr w:val="none" w:color="auto" w:sz="0" w:space="0"/>
          <w:shd w:val="clear" w:fill="FFFFFF"/>
          <w:lang w:val="en-US" w:eastAsia="zh-CN" w:bidi="ar"/>
        </w:rPr>
        <w:t>推进食品速冻技术、物流保鲜技术的</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研发及应用，提升企业冷链运输服务能力。加强物联网、大数据等新一代信息技术在冷链运输物流领域的应用，加快打造集采购分销、温控仓储、检验检测、冷链运输、加工配送、展示交易、电子商务、终端连锁等功能于一体的全程温控供应链。在重点县（市、区）建设城乡冷链物流骨干网项目，加快补齐冷链物流短板，着力构建“全链条、严标准、可追溯、高效率”的现代化冷链物流体系。</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〔责任单位：市发改委、市交通运输局、市供销联社、市商务局、市工信局，各县（市、区）人民政府、赣州经开区管委会〕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kern w:val="0"/>
          <w:sz w:val="28"/>
          <w:szCs w:val="28"/>
          <w:bdr w:val="none" w:color="auto" w:sz="0" w:space="0"/>
          <w:shd w:val="clear" w:fill="FFFFFF"/>
          <w:lang w:val="en-US" w:eastAsia="zh-CN" w:bidi="ar"/>
        </w:rPr>
        <w:t>3.培育新兴业态。</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推动食品工业与旅游、文化、康养深度融合，鼓励发展食品工业旅游、制造工艺体验、产品设计创意等新业态。培育一批食品行业工业设计中心，支持企业加强产品绿色设计，提升产品包装、生产品质与原料标准等设计能力。加快服务型制造示范平台和企业培育，引导食品企业通过供应链创新、定制化服务、全生命周期管理等创新模式加快发展，促进服务型制造模式深入应用。</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〔责任单位：市工信局、市农业农村局、市发改委、市文广新旅局、市商务局，各县（市、区）人民政府、赣州经开区管委会〕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4.加强人才支撑。</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强食品产业高层次人才引进和培养，通过挂职兼职、项目合作、联合攻关等方式，引进一批学术水平高、急需紧缺的高端人才。推动赣南科技学院等市属、驻市高校开设食品科学与工程相关专业，加大食品专业技术人才培养力度。积极开展实用技能和专业知识培训，建设一支具有专业知识和操作技能的人才队伍。</w:t>
      </w:r>
      <w:r>
        <w:rPr>
          <w:rFonts w:hint="eastAsia" w:ascii="楷体_GB2312" w:hAnsi="Calibri" w:eastAsia="楷体_GB2312" w:cs="楷体_GB2312"/>
          <w:b w:val="0"/>
          <w:bCs w:val="0"/>
          <w:i w:val="0"/>
          <w:iCs w:val="0"/>
          <w:caps w:val="0"/>
          <w:color w:val="333333"/>
          <w:spacing w:val="0"/>
          <w:kern w:val="0"/>
          <w:sz w:val="28"/>
          <w:szCs w:val="28"/>
          <w:bdr w:val="none" w:color="auto" w:sz="0" w:space="0"/>
          <w:shd w:val="clear" w:fill="FFFFFF"/>
          <w:lang w:val="en-US" w:eastAsia="zh-CN" w:bidi="ar"/>
        </w:rPr>
        <w:t>〔责任单位：市人社局、市教育局、赣南科技学院，各县（市、区）人民政府、赣州经开区管委会〕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仿宋_GB2312" w:hAnsi="Calibri" w:eastAsia="仿宋_GB2312" w:cs="仿宋_GB2312"/>
          <w:b/>
          <w:bCs/>
          <w:i w:val="0"/>
          <w:iCs w:val="0"/>
          <w:caps w:val="0"/>
          <w:color w:val="333333"/>
          <w:spacing w:val="0"/>
          <w:kern w:val="0"/>
          <w:sz w:val="28"/>
          <w:szCs w:val="28"/>
          <w:bdr w:val="none" w:color="auto" w:sz="0" w:space="0"/>
          <w:shd w:val="clear" w:fill="FFFFFF"/>
          <w:lang w:val="en-US" w:eastAsia="zh-CN" w:bidi="ar"/>
        </w:rPr>
        <w:t>5.强化金融服务。</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加强政银企对接，引导各类金融机构对食品行业重点企业和中小企业加大金融支持，帮助企业利用</w:t>
      </w:r>
      <w:r>
        <w:rPr>
          <w:rFonts w:hint="eastAsia" w:ascii="仿宋_GB2312" w:hAnsi="Calibri" w:eastAsia="仿宋_GB2312" w:cs="仿宋_GB2312"/>
          <w:i w:val="0"/>
          <w:iCs w:val="0"/>
          <w:caps w:val="0"/>
          <w:color w:val="222222"/>
          <w:spacing w:val="0"/>
          <w:kern w:val="0"/>
          <w:sz w:val="28"/>
          <w:szCs w:val="28"/>
          <w:bdr w:val="none" w:color="auto" w:sz="0" w:space="0"/>
          <w:shd w:val="clear" w:fill="FFFFFF"/>
          <w:lang w:val="en-US" w:eastAsia="zh-CN" w:bidi="ar"/>
        </w:rPr>
        <w:t>市重大工业项目投资引导资金、</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财园信贷通、小微信贷通、工信通等方式拓宽融资渠道。鼓励企业通过各类股权投资基金等方式融资并优化资本结构。支持食品企业通过挂牌上市、发行债券等形式到资本市场融资。</w:t>
      </w:r>
      <w:r>
        <w:rPr>
          <w:rFonts w:hint="eastAsia"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〔责任单位：市政府金融办、市工信局、市财政局，各县（市、区）人民政府、赣州经开区管委会〕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（一）强化组织领导。</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成立市食品产业高质量发展协调推进小组</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由分管工业市领导任组长，分管农业市领导为副组长，市直相关单位及相关县（市、区）人民政府为成员单位，明确目标任务，建立定期协商机制，统筹推进有关工作。各成员单位要树立大局意识，主动靠前，密切协作，形成工作合力，确保各项工作落到实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（二）强化政策支持。</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充分发挥市工业倍增升级专项资金、市农业产业化提升专项资金、预制菜产业发展专项资金等相关资金作用，梳理相关扶持政策，将符合条件的食品企业纳入扶持范围，同一事项涉及多项扶持政策的按就高不就低享受。各县（市、区）要结合自身实际加大对食品产业扶持力度，在招大引强、企业培育、项目建设、平台搭建等方面出台针对性政策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（三）强化安全监管。</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加强食品安全监管相关部门协调联动，落实“四个最严”要求，坚持源头治理、标本兼治，构建“从农田到餐桌”全过程、全链条监管机制。在初级农产品、食品生产加工、经营环节建设食品追溯体系，实现食品全程可追溯。落实食品生产企业安全生产主体责任，提升企业生产加工管理水平和能力。推进食品企业诚信体系建设，增强企业食品安全诚信意识，提升食品安全保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Calibri" w:hAnsi="Calibri" w:cs="Calibri"/>
          <w:sz w:val="21"/>
          <w:szCs w:val="21"/>
        </w:rPr>
      </w:pPr>
      <w:r>
        <w:rPr>
          <w:rFonts w:hint="eastAsia" w:ascii="楷体_GB2312" w:hAnsi="Calibri" w:eastAsia="楷体_GB2312" w:cs="楷体_GB2312"/>
          <w:b/>
          <w:bCs/>
          <w:i w:val="0"/>
          <w:iCs w:val="0"/>
          <w:caps w:val="0"/>
          <w:color w:val="333333"/>
          <w:spacing w:val="0"/>
          <w:kern w:val="0"/>
          <w:sz w:val="28"/>
          <w:szCs w:val="28"/>
          <w:bdr w:val="none" w:color="auto" w:sz="0" w:space="0"/>
          <w:shd w:val="clear" w:fill="FFFFFF"/>
          <w:lang w:val="en-US" w:eastAsia="zh-CN" w:bidi="ar"/>
        </w:rPr>
        <w:t>（四）强化考核问效。</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压实工作责任，</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适时组织对市直有关部门和县（市、区）推动食品产业发展情况考核，考核结果</w:t>
      </w:r>
      <w:r>
        <w:rPr>
          <w:rFonts w:hint="eastAsia" w:ascii="仿宋_GB2312" w:hAnsi="Calibri" w:eastAsia="仿宋_GB2312" w:cs="仿宋_GB2312"/>
          <w:i w:val="0"/>
          <w:iCs w:val="0"/>
          <w:caps w:val="0"/>
          <w:color w:val="000000"/>
          <w:spacing w:val="0"/>
          <w:kern w:val="0"/>
          <w:sz w:val="28"/>
          <w:szCs w:val="28"/>
          <w:bdr w:val="none" w:color="auto" w:sz="0" w:space="0"/>
          <w:shd w:val="clear" w:fill="FFFFFF"/>
          <w:lang w:val="en-US" w:eastAsia="zh-CN" w:bidi="ar"/>
        </w:rPr>
        <w:t>纳入工业倍增升级考核范围。</w:t>
      </w:r>
      <w:r>
        <w:rPr>
          <w:rFonts w:hint="eastAsia" w:ascii="仿宋_GB2312" w:hAnsi="Calibri" w:eastAsia="仿宋_GB2312" w:cs="仿宋_GB2312"/>
          <w:b w:val="0"/>
          <w:bCs w:val="0"/>
          <w:i w:val="0"/>
          <w:iCs w:val="0"/>
          <w:caps w:val="0"/>
          <w:color w:val="333333"/>
          <w:spacing w:val="0"/>
          <w:kern w:val="0"/>
          <w:sz w:val="28"/>
          <w:szCs w:val="28"/>
          <w:bdr w:val="none" w:color="auto" w:sz="0" w:space="0"/>
          <w:shd w:val="clear" w:fill="FFFFFF"/>
          <w:lang w:val="en-US" w:eastAsia="zh-CN" w:bidi="ar"/>
        </w:rPr>
        <w:t>各有关部门和县（市、区）要积极研究食品产业发展工作，</w:t>
      </w: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严格对照各项目标任务，清单化管理、项目化推进、精细化落实，高质高效完成各项工作任务。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本方案自2023年6月1日起施行。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附件：1.各县（市、区）食品产业倍增升级指导目标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      2.重点食品企业倍增升级指导目标</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Calibri" w:hAnsi="Calibri" w:cs="Calibri"/>
          <w:i w:val="0"/>
          <w:iCs w:val="0"/>
          <w:caps w:val="0"/>
          <w:color w:val="333333"/>
          <w:spacing w:val="0"/>
          <w:sz w:val="21"/>
          <w:szCs w:val="21"/>
        </w:rPr>
      </w:pPr>
      <w:r>
        <w:rPr>
          <w:rFonts w:hint="eastAsia" w:ascii="方正小标宋_GBK" w:hAnsi="方正小标宋_GBK" w:eastAsia="方正小标宋_GBK" w:cs="方正小标宋_GBK"/>
          <w:b w:val="0"/>
          <w:bCs w:val="0"/>
          <w:i w:val="0"/>
          <w:iCs w:val="0"/>
          <w:caps w:val="0"/>
          <w:color w:val="333333"/>
          <w:spacing w:val="0"/>
          <w:kern w:val="0"/>
          <w:sz w:val="28"/>
          <w:szCs w:val="28"/>
          <w:bdr w:val="none" w:color="auto" w:sz="0" w:space="0"/>
          <w:shd w:val="clear" w:fill="FFFFFF"/>
          <w:lang w:val="en-US" w:eastAsia="zh-CN" w:bidi="ar"/>
        </w:rPr>
        <w:t>      各县（市、区）食品产业倍增升级指导目标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21"/>
          <w:szCs w:val="21"/>
        </w:rPr>
      </w:pPr>
      <w:r>
        <w:rPr>
          <w:rFonts w:hint="eastAsia" w:ascii="方正小标宋_GBK" w:hAnsi="方正小标宋_GBK" w:eastAsia="方正小标宋_GBK" w:cs="方正小标宋_GBK"/>
          <w:b w:val="0"/>
          <w:bCs w:val="0"/>
          <w:i w:val="0"/>
          <w:iCs w:val="0"/>
          <w:caps w:val="0"/>
          <w:color w:val="333333"/>
          <w:spacing w:val="0"/>
          <w:kern w:val="0"/>
          <w:sz w:val="28"/>
          <w:szCs w:val="28"/>
          <w:bdr w:val="none" w:color="auto" w:sz="0" w:space="0"/>
          <w:shd w:val="clear" w:fill="FFFFFF"/>
          <w:lang w:val="en-US" w:eastAsia="zh-CN" w:bidi="ar"/>
        </w:rPr>
        <w:t> </w:t>
      </w:r>
    </w:p>
    <w:tbl>
      <w:tblPr>
        <w:tblW w:w="8370" w:type="dxa"/>
        <w:tblInd w:w="15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73"/>
        <w:gridCol w:w="2824"/>
        <w:gridCol w:w="2571"/>
        <w:gridCol w:w="21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83" w:hRule="atLeast"/>
        </w:trPr>
        <w:tc>
          <w:tcPr>
            <w:tcW w:w="873"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序号</w:t>
            </w:r>
          </w:p>
        </w:tc>
        <w:tc>
          <w:tcPr>
            <w:tcW w:w="282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县（市、区）</w:t>
            </w:r>
          </w:p>
        </w:tc>
        <w:tc>
          <w:tcPr>
            <w:tcW w:w="467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规上企业营业收入（亿元）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default" w:ascii="Times New Roman" w:hAnsi="Times New Roman" w:cs="Times New Roman"/>
                <w:i w:val="0"/>
                <w:iCs w:val="0"/>
                <w:caps w:val="0"/>
                <w:color w:val="333333"/>
                <w:spacing w:val="0"/>
                <w:sz w:val="20"/>
                <w:szCs w:val="20"/>
              </w:rPr>
            </w:pPr>
          </w:p>
        </w:tc>
        <w:tc>
          <w:tcPr>
            <w:tcW w:w="282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default" w:ascii="Times New Roman" w:hAnsi="Times New Roman" w:cs="Times New Roman"/>
                <w:i w:val="0"/>
                <w:iCs w:val="0"/>
                <w:caps w:val="0"/>
                <w:color w:val="333333"/>
                <w:spacing w:val="0"/>
                <w:sz w:val="20"/>
                <w:szCs w:val="20"/>
              </w:rPr>
            </w:pP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2022年实现</w:t>
            </w:r>
          </w:p>
        </w:tc>
        <w:tc>
          <w:tcPr>
            <w:tcW w:w="210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2025年目标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宁都县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15.11</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瑞金市</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11.51</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3</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会昌县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4.84</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4</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石城县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3.62</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5</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兴国县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2.64</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6</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于都县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3.00</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7</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赣州经开区</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70.70</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8</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40.64</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9</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赣县区</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29.01</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10</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寻乌县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18.36</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11</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安远县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6.45</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12</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龙南市</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9.96</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13</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大余县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4.72</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14</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章贡区</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10.75</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15</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定南县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4.49</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16</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崇义县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2.62</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17</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南康区</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b w:val="0"/>
                <w:bCs w:val="0"/>
                <w:i w:val="0"/>
                <w:iCs w:val="0"/>
                <w:caps w:val="0"/>
                <w:color w:val="000000"/>
                <w:spacing w:val="0"/>
                <w:kern w:val="0"/>
                <w:sz w:val="28"/>
                <w:szCs w:val="28"/>
                <w:bdr w:val="none" w:color="auto" w:sz="0" w:space="0"/>
                <w:lang w:val="en-US" w:eastAsia="zh-CN" w:bidi="ar"/>
              </w:rPr>
              <w:t>1</w:t>
            </w:r>
            <w:r>
              <w:rPr>
                <w:rFonts w:hint="eastAsia" w:ascii="仿宋_GB2312" w:hAnsi="宋体" w:eastAsia="仿宋_GB2312" w:cs="仿宋_GB2312"/>
                <w:b w:val="0"/>
                <w:bCs w:val="0"/>
                <w:i w:val="0"/>
                <w:iCs w:val="0"/>
                <w:caps w:val="0"/>
                <w:color w:val="000000"/>
                <w:spacing w:val="0"/>
                <w:kern w:val="0"/>
                <w:sz w:val="28"/>
                <w:szCs w:val="28"/>
                <w:bdr w:val="none" w:color="auto" w:sz="0" w:space="0"/>
                <w:lang w:val="en-US" w:eastAsia="zh-CN" w:bidi="ar"/>
              </w:rPr>
              <w:t>.37</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18</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上犹县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0（无规上企业）</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19</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全南县</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0（无规上企业）</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tc>
        <w:tc>
          <w:tcPr>
            <w:tcW w:w="2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合计</w:t>
            </w:r>
          </w:p>
        </w:tc>
        <w:tc>
          <w:tcPr>
            <w:tcW w:w="2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000000"/>
                <w:spacing w:val="0"/>
                <w:kern w:val="0"/>
                <w:sz w:val="28"/>
                <w:szCs w:val="28"/>
                <w:bdr w:val="none" w:color="auto" w:sz="0" w:space="0"/>
                <w:lang w:val="en-US" w:eastAsia="zh-CN" w:bidi="ar"/>
              </w:rPr>
              <w:t>239.77</w:t>
            </w:r>
          </w:p>
        </w:tc>
        <w:tc>
          <w:tcPr>
            <w:tcW w:w="2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415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Calibri" w:hAnsi="Calibri" w:cs="Calibri"/>
          <w:i w:val="0"/>
          <w:iCs w:val="0"/>
          <w:caps w:val="0"/>
          <w:color w:val="333333"/>
          <w:spacing w:val="0"/>
          <w:sz w:val="21"/>
          <w:szCs w:val="21"/>
        </w:rPr>
      </w:pPr>
      <w:r>
        <w:rPr>
          <w:rFonts w:hint="eastAsia" w:ascii="方正小标宋_GBK" w:hAnsi="方正小标宋_GBK" w:eastAsia="方正小标宋_GBK" w:cs="方正小标宋_GBK"/>
          <w:i w:val="0"/>
          <w:iCs w:val="0"/>
          <w:caps w:val="0"/>
          <w:color w:val="333333"/>
          <w:spacing w:val="0"/>
          <w:kern w:val="0"/>
          <w:sz w:val="28"/>
          <w:szCs w:val="28"/>
          <w:bdr w:val="none" w:color="auto" w:sz="0" w:space="0"/>
          <w:shd w:val="clear" w:fill="FFFFFF"/>
          <w:lang w:val="en-US" w:eastAsia="zh-CN" w:bidi="ar"/>
        </w:rPr>
        <w:t>         重点食品企业倍增升级指导目标</w:t>
      </w:r>
    </w:p>
    <w:tbl>
      <w:tblPr>
        <w:tblW w:w="8886"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15"/>
        <w:gridCol w:w="5080"/>
        <w:gridCol w:w="1755"/>
        <w:gridCol w:w="12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276" w:hRule="atLeast"/>
        </w:trPr>
        <w:tc>
          <w:tcPr>
            <w:tcW w:w="8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225" w:afterAutospacing="0" w:line="520" w:lineRule="atLeast"/>
              <w:ind w:left="0" w:right="0"/>
              <w:jc w:val="center"/>
              <w:rPr>
                <w:rFonts w:hint="eastAsia" w:ascii="宋体" w:hAnsi="宋体" w:eastAsia="宋体" w:cs="宋体"/>
                <w:sz w:val="40"/>
                <w:szCs w:val="40"/>
              </w:rPr>
            </w:pPr>
            <w:r>
              <w:rPr>
                <w:rFonts w:hint="eastAsia" w:ascii="仿宋_GB2312" w:hAnsi="宋体" w:eastAsia="仿宋_GB2312" w:cs="仿宋_GB2312"/>
                <w:i w:val="0"/>
                <w:iCs w:val="0"/>
                <w:caps w:val="0"/>
                <w:color w:val="333333"/>
                <w:spacing w:val="0"/>
                <w:sz w:val="28"/>
                <w:szCs w:val="28"/>
                <w:bdr w:val="none" w:color="auto" w:sz="0" w:space="0"/>
              </w:rPr>
              <w:t>序号</w:t>
            </w:r>
          </w:p>
        </w:tc>
        <w:tc>
          <w:tcPr>
            <w:tcW w:w="5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225" w:afterAutospacing="0" w:line="520" w:lineRule="atLeast"/>
              <w:ind w:left="0" w:right="0"/>
              <w:jc w:val="center"/>
              <w:rPr>
                <w:rFonts w:hint="eastAsia" w:ascii="宋体" w:hAnsi="宋体" w:eastAsia="宋体" w:cs="宋体"/>
                <w:sz w:val="40"/>
                <w:szCs w:val="40"/>
              </w:rPr>
            </w:pPr>
            <w:r>
              <w:rPr>
                <w:rFonts w:hint="eastAsia" w:ascii="仿宋_GB2312" w:hAnsi="宋体" w:eastAsia="仿宋_GB2312" w:cs="仿宋_GB2312"/>
                <w:i w:val="0"/>
                <w:iCs w:val="0"/>
                <w:caps w:val="0"/>
                <w:color w:val="333333"/>
                <w:spacing w:val="0"/>
                <w:sz w:val="28"/>
                <w:szCs w:val="28"/>
                <w:bdr w:val="none" w:color="auto" w:sz="0" w:space="0"/>
              </w:rPr>
              <w:t>企业名称</w:t>
            </w:r>
          </w:p>
        </w:tc>
        <w:tc>
          <w:tcPr>
            <w:tcW w:w="17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225" w:afterAutospacing="0" w:line="520" w:lineRule="atLeast"/>
              <w:ind w:left="0" w:right="0"/>
              <w:jc w:val="center"/>
              <w:rPr>
                <w:rFonts w:hint="eastAsia" w:ascii="宋体" w:hAnsi="宋体" w:eastAsia="宋体" w:cs="宋体"/>
                <w:sz w:val="40"/>
                <w:szCs w:val="40"/>
              </w:rPr>
            </w:pPr>
            <w:r>
              <w:rPr>
                <w:rFonts w:hint="eastAsia" w:ascii="仿宋_GB2312" w:hAnsi="宋体" w:eastAsia="仿宋_GB2312" w:cs="仿宋_GB2312"/>
                <w:i w:val="0"/>
                <w:iCs w:val="0"/>
                <w:caps w:val="0"/>
                <w:color w:val="333333"/>
                <w:spacing w:val="0"/>
                <w:sz w:val="28"/>
                <w:szCs w:val="28"/>
                <w:bdr w:val="none" w:color="auto" w:sz="0" w:space="0"/>
              </w:rPr>
              <w:t>县（市、区）</w:t>
            </w:r>
          </w:p>
        </w:tc>
        <w:tc>
          <w:tcPr>
            <w:tcW w:w="123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225" w:afterAutospacing="0" w:line="520" w:lineRule="atLeast"/>
              <w:ind w:left="0" w:right="0"/>
              <w:jc w:val="center"/>
              <w:rPr>
                <w:rFonts w:hint="eastAsia" w:ascii="宋体" w:hAnsi="宋体" w:eastAsia="宋体" w:cs="宋体"/>
                <w:sz w:val="40"/>
                <w:szCs w:val="40"/>
              </w:rPr>
            </w:pPr>
            <w:r>
              <w:rPr>
                <w:rFonts w:hint="eastAsia" w:ascii="仿宋_GB2312" w:hAnsi="宋体" w:eastAsia="仿宋_GB2312" w:cs="仿宋_GB2312"/>
                <w:i w:val="0"/>
                <w:iCs w:val="0"/>
                <w:caps w:val="0"/>
                <w:color w:val="333333"/>
                <w:spacing w:val="0"/>
                <w:sz w:val="28"/>
                <w:szCs w:val="28"/>
                <w:bdr w:val="none" w:color="auto" w:sz="0" w:space="0"/>
              </w:rPr>
              <w:t>2025年营收（亿元）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宋体" w:eastAsia="仿宋_GB2312" w:cs="仿宋_GB2312"/>
                <w:i w:val="0"/>
                <w:iCs w:val="0"/>
                <w:caps w:val="0"/>
                <w:color w:val="333333"/>
                <w:spacing w:val="0"/>
                <w:kern w:val="0"/>
                <w:sz w:val="28"/>
                <w:szCs w:val="28"/>
                <w:bdr w:val="none" w:color="auto" w:sz="0" w:space="0"/>
                <w:lang w:val="en-US" w:eastAsia="zh-CN" w:bidi="ar"/>
              </w:rPr>
              <w:t>1</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赣州市晟阳餐饮管理有限公司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宁都县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10"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江西蒙天乳业有限公司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宁都县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10"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宁都县鑫龙食品有限公司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宁都县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10"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4</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江西聚道食品股份有限公司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瑞金市</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5</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瑞金市红都水产食品有限公司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瑞金市</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6</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江西德都食品科技有限公司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石城县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7</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江西大由大食品科技有限公司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石城县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8</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石城县雄达白莲有限责任公司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石城县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9</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江西美园食品有限公司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兴国县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10</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江西国兴集团百丈泉食品饮料有限公司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兴国县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11</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江西五丰食品有限公司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会昌县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12</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江西唯冠食品科技有限公司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会昌县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13</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于都高山青草奶业有限公司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于都县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14</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双胞胎饲料有限公司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经开区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15</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赣州美园畜牧有限公司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经开区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16</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播恩集团股份有限公司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经开区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17</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江西章贡酒业有限责任公司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经开区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18</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信丰农夫山泉饮料有限公司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19</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赣州温氏</w:t>
            </w:r>
            <w:bookmarkStart w:id="0" w:name="_GoBack"/>
            <w:bookmarkEnd w:id="0"/>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晶鸿食品有限公司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20</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得利斯华南预制食品产业园</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21</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江西绿萌科技控股有限公司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0"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22</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信丰农夫山泉果业有限公司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23</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江西友尼宝农业科技股份有限公司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信丰县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24</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谱赛科(江西)生物技术有限公司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赣县区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25</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江西晶星食品有限公司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赣县区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26</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赣州市全标生物科技有限公司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赣县区</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27</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江西杨氏果业股份有限公司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寻乌县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28</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江西果然食品有限公司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安远县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5"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29</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大余东进食品有限公司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大余县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30</w:t>
            </w:r>
          </w:p>
        </w:tc>
        <w:tc>
          <w:tcPr>
            <w:tcW w:w="5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江西齐云山食品有限公司</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崇义县</w:t>
            </w:r>
          </w:p>
        </w:tc>
        <w:tc>
          <w:tcPr>
            <w:tcW w:w="1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rPr>
                <w:rFonts w:hint="default" w:ascii="Calibri" w:hAnsi="Calibri" w:cs="Calibri"/>
                <w:sz w:val="21"/>
                <w:szCs w:val="21"/>
              </w:rPr>
            </w:pPr>
            <w:r>
              <w:rPr>
                <w:rFonts w:hint="eastAsia" w:ascii="仿宋_GB2312" w:hAnsi="Calibri" w:eastAsia="仿宋_GB2312" w:cs="仿宋_GB2312"/>
                <w:i w:val="0"/>
                <w:iCs w:val="0"/>
                <w:caps w:val="0"/>
                <w:color w:val="333333"/>
                <w:spacing w:val="0"/>
                <w:kern w:val="0"/>
                <w:sz w:val="28"/>
                <w:szCs w:val="28"/>
                <w:bdr w:val="none" w:color="auto" w:sz="0" w:space="0"/>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eastAsiaTheme="minorEastAsia"/>
          <w:i w:val="0"/>
          <w:iCs w:val="0"/>
          <w:caps w:val="0"/>
          <w:color w:val="333333"/>
          <w:spacing w:val="0"/>
          <w:kern w:val="0"/>
          <w:sz w:val="28"/>
          <w:szCs w:val="2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000000"/>
    <w:rsid w:val="0ABD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2023-12-11T12:55:05Z</dcterms:created>
  <dc:creator>Administrator</dc:creator>
  <cp:lastModifiedBy>luzhibin</cp:lastModifiedBy>
  <dcterms:modified xsi:type="dcterms:W3CDTF">2023-12-11T12:55:31Z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23E59F7D2373492680337F22D8E38ADB_12</vt:lpwstr>
  </property>
</Properties>
</file>