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pacing w:val="-10"/>
          <w:kern w:val="0"/>
          <w:sz w:val="32"/>
          <w:szCs w:val="32"/>
          <w:lang w:val="en-US" w:eastAsia="zh-CN" w:bidi="zh-CN"/>
        </w:rPr>
      </w:pPr>
      <w:r>
        <w:rPr>
          <w:rFonts w:hint="eastAsia" w:ascii="仿宋_GB2312" w:hAnsi="仿宋_GB2312" w:eastAsia="仿宋_GB2312" w:cs="仿宋_GB2312"/>
          <w:spacing w:val="-10"/>
          <w:kern w:val="0"/>
          <w:sz w:val="32"/>
          <w:szCs w:val="32"/>
          <w:lang w:val="en-US" w:eastAsia="zh-CN" w:bidi="zh-CN"/>
        </w:rPr>
        <w:t>签发人：</w:t>
      </w:r>
      <w:r>
        <w:rPr>
          <w:rFonts w:hint="eastAsia" w:ascii="楷体_GB2312" w:hAnsi="楷体_GB2312" w:eastAsia="楷体_GB2312" w:cs="楷体_GB2312"/>
          <w:kern w:val="0"/>
          <w:sz w:val="32"/>
          <w:szCs w:val="32"/>
          <w:lang w:val="en-US" w:eastAsia="zh-CN" w:bidi="zh-CN"/>
        </w:rPr>
        <w:t>吴诗东</w:t>
      </w:r>
      <w:r>
        <w:rPr>
          <w:rFonts w:hint="eastAsia" w:ascii="仿宋_GB2312" w:hAnsi="仿宋_GB2312" w:eastAsia="仿宋_GB2312" w:cs="仿宋_GB2312"/>
          <w:spacing w:val="-10"/>
          <w:kern w:val="0"/>
          <w:sz w:val="32"/>
          <w:szCs w:val="32"/>
          <w:lang w:val="en-US" w:eastAsia="zh-CN" w:bidi="zh-CN"/>
        </w:rPr>
        <w:t xml:space="preserve">                       赣市国资提字〔2023〕6号</w:t>
      </w:r>
    </w:p>
    <w:p>
      <w:pPr>
        <w:keepNext w:val="0"/>
        <w:keepLines w:val="0"/>
        <w:pageBreakBefore w:val="0"/>
        <w:widowControl w:val="0"/>
        <w:kinsoku/>
        <w:wordWrap/>
        <w:overflowPunct/>
        <w:topLinePunct w:val="0"/>
        <w:autoSpaceDE/>
        <w:autoSpaceDN/>
        <w:bidi w:val="0"/>
        <w:adjustRightInd/>
        <w:snapToGrid/>
        <w:spacing w:line="620" w:lineRule="exact"/>
        <w:jc w:val="right"/>
        <w:textAlignment w:val="auto"/>
        <w:rPr>
          <w:rFonts w:hint="eastAsia" w:ascii="仿宋_GB2312" w:hAnsi="仿宋_GB2312" w:eastAsia="仿宋_GB2312" w:cs="仿宋_GB2312"/>
          <w:spacing w:val="-10"/>
          <w:kern w:val="0"/>
          <w:sz w:val="32"/>
          <w:szCs w:val="32"/>
          <w:lang w:val="en-US" w:eastAsia="zh-CN" w:bidi="zh-CN"/>
        </w:rPr>
      </w:pPr>
      <w:r>
        <w:rPr>
          <w:rFonts w:hint="eastAsia" w:ascii="仿宋_GB2312" w:hAnsi="仿宋_GB2312" w:eastAsia="仿宋_GB2312" w:cs="仿宋_GB2312"/>
          <w:spacing w:val="-10"/>
          <w:kern w:val="0"/>
          <w:sz w:val="32"/>
          <w:szCs w:val="32"/>
          <w:lang w:val="en-US" w:eastAsia="zh-CN" w:bidi="zh-CN"/>
        </w:rPr>
        <w:t>〔A1〕</w:t>
      </w:r>
    </w:p>
    <w:p>
      <w:pPr>
        <w:keepNext w:val="0"/>
        <w:keepLines w:val="0"/>
        <w:pageBreakBefore w:val="0"/>
        <w:widowControl w:val="0"/>
        <w:kinsoku/>
        <w:wordWrap/>
        <w:overflowPunct/>
        <w:topLinePunct w:val="0"/>
        <w:autoSpaceDE/>
        <w:autoSpaceDN/>
        <w:bidi w:val="0"/>
        <w:adjustRightInd/>
        <w:snapToGrid/>
        <w:spacing w:line="620" w:lineRule="exact"/>
        <w:jc w:val="right"/>
        <w:textAlignment w:val="auto"/>
        <w:rPr>
          <w:rFonts w:hint="eastAsia" w:ascii="仿宋_GB2312" w:hAnsi="仿宋_GB2312" w:eastAsia="仿宋_GB2312" w:cs="仿宋_GB2312"/>
          <w:spacing w:val="-10"/>
          <w:kern w:val="0"/>
          <w:sz w:val="32"/>
          <w:szCs w:val="32"/>
          <w:lang w:val="en-US" w:eastAsia="zh-CN" w:bidi="zh-CN"/>
        </w:rPr>
      </w:pPr>
      <w:r>
        <w:rPr>
          <w:rFonts w:hint="eastAsia" w:ascii="仿宋_GB2312" w:hAnsi="仿宋_GB2312" w:eastAsia="仿宋_GB2312" w:cs="仿宋_GB2312"/>
          <w:spacing w:val="-10"/>
          <w:kern w:val="0"/>
          <w:sz w:val="32"/>
          <w:szCs w:val="32"/>
          <w:lang w:val="en-US" w:eastAsia="zh-CN" w:bidi="zh-CN"/>
        </w:rPr>
        <w:t>〔同意对外公开〕</w:t>
      </w:r>
    </w:p>
    <w:p>
      <w:pPr>
        <w:keepNext w:val="0"/>
        <w:keepLines w:val="0"/>
        <w:pageBreakBefore w:val="0"/>
        <w:widowControl w:val="0"/>
        <w:kinsoku/>
        <w:wordWrap/>
        <w:overflowPunct/>
        <w:topLinePunct w:val="0"/>
        <w:autoSpaceDE/>
        <w:autoSpaceDN/>
        <w:bidi w:val="0"/>
        <w:adjustRightInd/>
        <w:snapToGrid/>
        <w:spacing w:line="620" w:lineRule="exact"/>
        <w:jc w:val="right"/>
        <w:textAlignment w:val="auto"/>
        <w:rPr>
          <w:rFonts w:hint="default" w:ascii="仿宋_GB2312" w:hAnsi="仿宋_GB2312" w:eastAsia="仿宋_GB2312" w:cs="仿宋_GB2312"/>
          <w:spacing w:val="-10"/>
          <w:kern w:val="0"/>
          <w:sz w:val="32"/>
          <w:szCs w:val="32"/>
          <w:lang w:val="en-US" w:eastAsia="zh-CN" w:bidi="zh-CN"/>
        </w:rPr>
      </w:pPr>
    </w:p>
    <w:p>
      <w:pPr>
        <w:pStyle w:val="3"/>
        <w:keepNext w:val="0"/>
        <w:keepLines w:val="0"/>
        <w:pageBreakBefore w:val="0"/>
        <w:widowControl w:val="0"/>
        <w:tabs>
          <w:tab w:val="left" w:pos="3950"/>
        </w:tabs>
        <w:kinsoku/>
        <w:wordWrap/>
        <w:overflowPunct/>
        <w:topLinePunct w:val="0"/>
        <w:autoSpaceDE w:val="0"/>
        <w:autoSpaceDN w:val="0"/>
        <w:bidi w:val="0"/>
        <w:adjustRightInd/>
        <w:snapToGrid/>
        <w:spacing w:before="0" w:after="0" w:line="560" w:lineRule="exact"/>
        <w:ind w:left="0" w:right="0"/>
        <w:jc w:val="center"/>
        <w:textAlignment w:val="auto"/>
        <w:rPr>
          <w:rFonts w:hint="eastAsia" w:ascii="方正小标宋_GBK" w:hAnsi="方正小标宋_GBK" w:eastAsia="方正小标宋_GBK" w:cs="方正小标宋_GBK"/>
          <w:spacing w:val="0"/>
          <w:w w:val="100"/>
          <w:kern w:val="0"/>
          <w:sz w:val="44"/>
          <w:szCs w:val="44"/>
          <w:lang w:val="en-US" w:eastAsia="zh-CN"/>
        </w:rPr>
      </w:pPr>
      <w:r>
        <w:rPr>
          <w:rFonts w:hint="eastAsia" w:ascii="方正小标宋_GBK" w:hAnsi="方正小标宋_GBK" w:eastAsia="方正小标宋_GBK" w:cs="方正小标宋_GBK"/>
          <w:spacing w:val="0"/>
          <w:w w:val="100"/>
          <w:kern w:val="0"/>
          <w:sz w:val="44"/>
          <w:szCs w:val="44"/>
          <w:lang w:val="en-US" w:eastAsia="zh-CN"/>
        </w:rPr>
        <w:t>关于市政协六届三次会议</w:t>
      </w:r>
    </w:p>
    <w:p>
      <w:pPr>
        <w:pStyle w:val="3"/>
        <w:keepNext w:val="0"/>
        <w:keepLines w:val="0"/>
        <w:pageBreakBefore w:val="0"/>
        <w:widowControl w:val="0"/>
        <w:tabs>
          <w:tab w:val="left" w:pos="3950"/>
        </w:tabs>
        <w:kinsoku/>
        <w:wordWrap/>
        <w:overflowPunct/>
        <w:topLinePunct w:val="0"/>
        <w:autoSpaceDE w:val="0"/>
        <w:autoSpaceDN w:val="0"/>
        <w:bidi w:val="0"/>
        <w:adjustRightInd/>
        <w:snapToGrid/>
        <w:spacing w:before="0" w:after="0" w:line="560" w:lineRule="exact"/>
        <w:ind w:left="0" w:right="0"/>
        <w:jc w:val="center"/>
        <w:textAlignment w:val="auto"/>
        <w:rPr>
          <w:rFonts w:hint="default" w:ascii="仿宋_GB2312" w:hAnsi="仿宋_GB2312" w:eastAsia="仿宋_GB2312" w:cs="仿宋_GB2312"/>
          <w:spacing w:val="-10"/>
          <w:kern w:val="0"/>
          <w:sz w:val="32"/>
          <w:szCs w:val="32"/>
          <w:lang w:val="en-US" w:eastAsia="zh-CN" w:bidi="zh-CN"/>
        </w:rPr>
      </w:pPr>
      <w:r>
        <w:rPr>
          <w:rFonts w:hint="eastAsia" w:ascii="方正小标宋_GBK" w:hAnsi="方正小标宋_GBK" w:eastAsia="方正小标宋_GBK" w:cs="方正小标宋_GBK"/>
          <w:spacing w:val="0"/>
          <w:w w:val="100"/>
          <w:kern w:val="0"/>
          <w:sz w:val="44"/>
          <w:szCs w:val="44"/>
          <w:lang w:val="en-US" w:eastAsia="zh-CN"/>
        </w:rPr>
        <w:t>第0355号提案会办意见的函</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eastAsia" w:ascii="仿宋_GB2312" w:hAnsi="仿宋_GB2312" w:eastAsia="仿宋_GB2312" w:cs="仿宋_GB2312"/>
          <w:spacing w:val="-10"/>
          <w:kern w:val="0"/>
          <w:sz w:val="32"/>
          <w:szCs w:val="32"/>
          <w:lang w:val="en-US" w:eastAsia="zh-CN" w:bidi="zh-CN"/>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pacing w:val="-10"/>
          <w:kern w:val="0"/>
          <w:sz w:val="32"/>
          <w:szCs w:val="32"/>
          <w:lang w:val="en-US" w:eastAsia="zh-CN" w:bidi="zh-CN"/>
        </w:rPr>
      </w:pPr>
      <w:r>
        <w:rPr>
          <w:rFonts w:hint="eastAsia" w:ascii="仿宋_GB2312" w:hAnsi="仿宋_GB2312" w:eastAsia="仿宋_GB2312" w:cs="仿宋_GB2312"/>
          <w:spacing w:val="-10"/>
          <w:kern w:val="0"/>
          <w:sz w:val="32"/>
          <w:szCs w:val="32"/>
          <w:lang w:val="en-US" w:eastAsia="zh-CN" w:bidi="zh-CN"/>
        </w:rPr>
        <w:t>市市场监督管理局：</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jc w:val="both"/>
        <w:textAlignment w:val="auto"/>
        <w:rPr>
          <w:rFonts w:hint="eastAsia" w:ascii="仿宋_GB2312" w:hAnsi="仿宋_GB2312" w:eastAsia="仿宋_GB2312" w:cs="仿宋_GB2312"/>
          <w:spacing w:val="-10"/>
          <w:kern w:val="0"/>
          <w:sz w:val="32"/>
          <w:szCs w:val="32"/>
          <w:lang w:val="en-US" w:eastAsia="zh-CN" w:bidi="zh-CN"/>
        </w:rPr>
      </w:pPr>
      <w:r>
        <w:rPr>
          <w:rFonts w:hint="eastAsia" w:ascii="仿宋_GB2312" w:hAnsi="仿宋_GB2312" w:eastAsia="仿宋_GB2312" w:cs="仿宋_GB2312"/>
          <w:spacing w:val="-10"/>
          <w:kern w:val="0"/>
          <w:sz w:val="32"/>
          <w:szCs w:val="32"/>
          <w:lang w:val="en-US" w:eastAsia="zh-CN" w:bidi="zh-CN"/>
        </w:rPr>
        <w:t>市政协六届三次会议0355号提案《关于为个体工商户纾困解难的建议》，贵局为主办单位，我委等相关单位为会办单位。现将提案中涉及我委职责部分办理情况和相关意见反馈如下：</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jc w:val="both"/>
        <w:textAlignment w:val="auto"/>
        <w:rPr>
          <w:rFonts w:hint="eastAsia" w:ascii="仿宋_GB2312" w:hAnsi="仿宋_GB2312" w:eastAsia="仿宋_GB2312" w:cs="仿宋_GB2312"/>
          <w:spacing w:val="-10"/>
          <w:kern w:val="0"/>
          <w:sz w:val="32"/>
          <w:szCs w:val="32"/>
          <w:lang w:val="en-US" w:eastAsia="zh-CN" w:bidi="zh-CN"/>
        </w:rPr>
      </w:pPr>
      <w:r>
        <w:rPr>
          <w:rFonts w:hint="eastAsia" w:ascii="黑体" w:hAnsi="黑体" w:eastAsia="黑体" w:cs="黑体"/>
          <w:spacing w:val="-10"/>
          <w:kern w:val="0"/>
          <w:sz w:val="32"/>
          <w:szCs w:val="32"/>
          <w:lang w:val="en-US" w:eastAsia="zh-CN" w:bidi="zh-CN"/>
        </w:rPr>
        <w:t>一、相关建议办理情况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楷体_GB2312" w:hAnsi="楷体_GB2312" w:eastAsia="楷体_GB2312" w:cs="楷体_GB2312"/>
          <w:kern w:val="0"/>
          <w:sz w:val="32"/>
          <w:szCs w:val="32"/>
          <w:lang w:val="en-US" w:eastAsia="zh-CN" w:bidi="zh-CN"/>
        </w:rPr>
      </w:pPr>
      <w:r>
        <w:rPr>
          <w:rFonts w:hint="eastAsia" w:ascii="楷体_GB2312" w:hAnsi="楷体_GB2312" w:eastAsia="楷体_GB2312" w:cs="楷体_GB2312"/>
          <w:kern w:val="0"/>
          <w:sz w:val="32"/>
          <w:szCs w:val="32"/>
          <w:lang w:val="en-US" w:eastAsia="zh-CN" w:bidi="zh-CN"/>
        </w:rPr>
        <w:t>（一）关于“加大对非法转租国有房屋行为的清理查处力度，杜绝红利被‘截留’、政策被‘中间商赚差价’”的建议</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jc w:val="both"/>
        <w:textAlignment w:val="auto"/>
        <w:rPr>
          <w:rFonts w:hint="eastAsia" w:ascii="仿宋_GB2312" w:hAnsi="仿宋_GB2312" w:eastAsia="仿宋_GB2312" w:cs="仿宋_GB2312"/>
          <w:spacing w:val="-10"/>
          <w:kern w:val="0"/>
          <w:sz w:val="32"/>
          <w:szCs w:val="32"/>
          <w:lang w:val="en-US" w:eastAsia="zh-CN" w:bidi="zh-CN"/>
        </w:rPr>
      </w:pPr>
      <w:r>
        <w:rPr>
          <w:rFonts w:hint="eastAsia" w:ascii="仿宋_GB2312" w:hAnsi="仿宋_GB2312" w:eastAsia="仿宋_GB2312" w:cs="仿宋_GB2312"/>
          <w:spacing w:val="-10"/>
          <w:kern w:val="0"/>
          <w:sz w:val="32"/>
          <w:szCs w:val="32"/>
          <w:lang w:val="en-US" w:eastAsia="zh-CN" w:bidi="zh-CN"/>
        </w:rPr>
        <w:t>市国资委对非法转租国有房屋和截留租金减免政策等行为“零容忍”，始终保持高压态势，采取各种手段坚决防止非法转租国有房屋行为，防止国有房屋租赁中存在“中间人”，确保各项惠民政策落实到一线实际承租经营者。</w:t>
      </w:r>
      <w:r>
        <w:rPr>
          <w:rFonts w:hint="eastAsia" w:ascii="仿宋_GB2312" w:hAnsi="仿宋_GB2312" w:eastAsia="仿宋_GB2312" w:cs="仿宋_GB2312"/>
          <w:b/>
          <w:bCs/>
          <w:spacing w:val="-10"/>
          <w:kern w:val="0"/>
          <w:sz w:val="32"/>
          <w:szCs w:val="32"/>
          <w:lang w:val="en-US" w:eastAsia="zh-CN" w:bidi="zh-CN"/>
        </w:rPr>
        <w:t>一是</w:t>
      </w:r>
      <w:r>
        <w:rPr>
          <w:rFonts w:hint="eastAsia" w:ascii="仿宋_GB2312" w:hAnsi="仿宋_GB2312" w:eastAsia="仿宋_GB2312" w:cs="仿宋_GB2312"/>
          <w:spacing w:val="-10"/>
          <w:kern w:val="0"/>
          <w:sz w:val="32"/>
          <w:szCs w:val="32"/>
          <w:lang w:val="en-US" w:eastAsia="zh-CN" w:bidi="zh-CN"/>
        </w:rPr>
        <w:t>持续加强监管检查。今年以来，市国资委结合对出资监管企业开展违规贸易、违规资产处置等专项治理活动，对国有房屋租赁行为开展了检查，对发现的违规转租行为，坚决中止合同予以清退，并按合同约定扣除相关履约保证金。</w:t>
      </w:r>
      <w:r>
        <w:rPr>
          <w:rFonts w:hint="eastAsia" w:ascii="仿宋_GB2312" w:hAnsi="仿宋_GB2312" w:eastAsia="仿宋_GB2312" w:cs="仿宋_GB2312"/>
          <w:b/>
          <w:bCs/>
          <w:spacing w:val="-10"/>
          <w:kern w:val="0"/>
          <w:sz w:val="32"/>
          <w:szCs w:val="32"/>
          <w:lang w:val="en-US" w:eastAsia="zh-CN" w:bidi="zh-CN"/>
        </w:rPr>
        <w:t>二是</w:t>
      </w:r>
      <w:r>
        <w:rPr>
          <w:rFonts w:hint="eastAsia" w:ascii="仿宋_GB2312" w:hAnsi="仿宋_GB2312" w:eastAsia="仿宋_GB2312" w:cs="仿宋_GB2312"/>
          <w:spacing w:val="-10"/>
          <w:kern w:val="0"/>
          <w:sz w:val="32"/>
          <w:szCs w:val="32"/>
          <w:lang w:val="en-US" w:eastAsia="zh-CN" w:bidi="zh-CN"/>
        </w:rPr>
        <w:t>细化完善工作机制。印发加强国有资产租赁业务管理的通知，要求相关市属国企房屋租赁务必通过公共资源交易中心公开交易，做到“应进必进”。指导督促相关市属国企完善制定国有房屋租赁管理办法，一企一策细化各项要求，落实落细各项政策。</w:t>
      </w:r>
      <w:r>
        <w:rPr>
          <w:rFonts w:hint="eastAsia" w:ascii="仿宋_GB2312" w:hAnsi="仿宋_GB2312" w:eastAsia="仿宋_GB2312" w:cs="仿宋_GB2312"/>
          <w:b/>
          <w:bCs/>
          <w:spacing w:val="-10"/>
          <w:kern w:val="0"/>
          <w:sz w:val="32"/>
          <w:szCs w:val="32"/>
          <w:lang w:val="en-US" w:eastAsia="zh-CN" w:bidi="zh-CN"/>
        </w:rPr>
        <w:t>三是</w:t>
      </w:r>
      <w:r>
        <w:rPr>
          <w:rFonts w:hint="eastAsia" w:ascii="仿宋_GB2312" w:hAnsi="仿宋_GB2312" w:eastAsia="仿宋_GB2312" w:cs="仿宋_GB2312"/>
          <w:spacing w:val="-10"/>
          <w:kern w:val="0"/>
          <w:sz w:val="32"/>
          <w:szCs w:val="32"/>
          <w:lang w:val="en-US" w:eastAsia="zh-CN" w:bidi="zh-CN"/>
        </w:rPr>
        <w:t>畅通投诉举报渠道。要求各相关市属国企将国有房屋租赁的有关制度及各类惠民政策向广大经营户宣传到位，充分利用线上线下各类渠道宣传，争取不落一人，充分保障各类市场经营者的知情权。同时在相关场所公布出租企业、上级集团、市国资委三级投诉举报电话，维护各类市场经营者的合法权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pacing w:val="-10"/>
          <w:kern w:val="0"/>
          <w:sz w:val="32"/>
          <w:szCs w:val="32"/>
          <w:lang w:val="en-US" w:eastAsia="zh-CN" w:bidi="zh-CN"/>
        </w:rPr>
      </w:pPr>
      <w:r>
        <w:rPr>
          <w:rFonts w:hint="eastAsia" w:ascii="楷体_GB2312" w:hAnsi="楷体_GB2312" w:eastAsia="楷体_GB2312" w:cs="楷体_GB2312"/>
          <w:kern w:val="0"/>
          <w:sz w:val="32"/>
          <w:szCs w:val="32"/>
          <w:lang w:val="en-US" w:eastAsia="zh-CN" w:bidi="zh-CN"/>
        </w:rPr>
        <w:t>（二）关于“在个体户因各种原因不再承租国有房屋时，应给予相应的宽容度，允许个体户中止房屋租赁，或者找到第三方承租”的建议</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jc w:val="both"/>
        <w:textAlignment w:val="auto"/>
        <w:rPr>
          <w:rFonts w:hint="eastAsia" w:ascii="仿宋_GB2312" w:hAnsi="仿宋_GB2312" w:eastAsia="仿宋_GB2312" w:cs="仿宋_GB2312"/>
          <w:spacing w:val="-10"/>
          <w:kern w:val="0"/>
          <w:sz w:val="32"/>
          <w:szCs w:val="32"/>
          <w:lang w:val="en-US" w:eastAsia="zh-CN" w:bidi="zh-CN"/>
        </w:rPr>
      </w:pPr>
      <w:r>
        <w:rPr>
          <w:rFonts w:hint="eastAsia" w:ascii="仿宋_GB2312" w:hAnsi="仿宋_GB2312" w:eastAsia="仿宋_GB2312" w:cs="仿宋_GB2312"/>
          <w:spacing w:val="-10"/>
          <w:kern w:val="0"/>
          <w:sz w:val="32"/>
          <w:szCs w:val="32"/>
          <w:lang w:val="en-US" w:eastAsia="zh-CN" w:bidi="zh-CN"/>
        </w:rPr>
        <w:t>目前，国有企业资产租赁业务主要依照国有资产管理相关规定，按照市场化方式进行。受疫情等原因影响，部分承租者经营遇到困难，提前退租情况愈发普遍，为此，相关市属国企也制定了更加灵活的制度，在保障国有资产不流失的前提下，尽可能给予承租户更多的便利。如市城投集团规定，因行业变更等原因确需退租的，可提前一个月向出租企业申请，经出租企业同意后，可退回履约保证金。同时，市国资委也积极指导相关市属国企，认真甄别承租户申请中止租赁的原因，避免惠民政策被滥用或成为违规转租的变相形式，切实防止国有资产流失。</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jc w:val="both"/>
        <w:textAlignment w:val="auto"/>
        <w:rPr>
          <w:rFonts w:hint="eastAsia" w:ascii="仿宋_GB2312" w:hAnsi="仿宋_GB2312" w:eastAsia="仿宋_GB2312" w:cs="仿宋_GB2312"/>
          <w:spacing w:val="-10"/>
          <w:kern w:val="0"/>
          <w:sz w:val="32"/>
          <w:szCs w:val="32"/>
          <w:lang w:val="en-US" w:eastAsia="zh-CN" w:bidi="zh-CN"/>
        </w:rPr>
      </w:pPr>
      <w:r>
        <w:rPr>
          <w:rFonts w:hint="eastAsia" w:ascii="黑体" w:hAnsi="黑体" w:eastAsia="黑体" w:cs="黑体"/>
          <w:spacing w:val="-10"/>
          <w:kern w:val="0"/>
          <w:sz w:val="32"/>
          <w:szCs w:val="32"/>
          <w:lang w:val="en-US" w:eastAsia="zh-CN" w:bidi="zh-CN"/>
        </w:rPr>
        <w:t>二、下一步工作计划</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jc w:val="both"/>
        <w:textAlignment w:val="auto"/>
        <w:rPr>
          <w:rFonts w:hint="eastAsia" w:ascii="仿宋_GB2312" w:hAnsi="仿宋_GB2312" w:eastAsia="仿宋_GB2312" w:cs="仿宋_GB2312"/>
          <w:spacing w:val="-10"/>
          <w:kern w:val="0"/>
          <w:sz w:val="32"/>
          <w:szCs w:val="32"/>
          <w:lang w:val="en-US" w:eastAsia="zh-CN" w:bidi="zh-CN"/>
        </w:rPr>
      </w:pPr>
      <w:r>
        <w:rPr>
          <w:rFonts w:hint="eastAsia" w:ascii="仿宋_GB2312" w:hAnsi="仿宋_GB2312" w:eastAsia="仿宋_GB2312" w:cs="仿宋_GB2312"/>
          <w:spacing w:val="-10"/>
          <w:kern w:val="0"/>
          <w:sz w:val="32"/>
          <w:szCs w:val="32"/>
          <w:lang w:val="en-US" w:eastAsia="zh-CN" w:bidi="zh-CN"/>
        </w:rPr>
        <w:t>市国资委将督促相关市属国企持续加大对非法转租国有房屋和截留惠民政策的检查力度，完善相关工作机制，规范开展进场交易，采取更加切实有力的措施保障国有资产权益，维护承租户权利。进一步完善各企业资产租赁管理办法，规范资产租赁业务。积极落实上级有关部门减租政策，对符合条件的市场经营者确保应减尽减，让惠民政策真正落到实际承租人。同时也将积极配合参与我市各项促消费、稳市场行动，不断参与优化我市营商环境，为后疫情时代我市经济增长贡献国资国企力量。</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eastAsia" w:ascii="仿宋_GB2312" w:hAnsi="仿宋_GB2312" w:eastAsia="仿宋_GB2312" w:cs="仿宋_GB2312"/>
          <w:spacing w:val="-10"/>
          <w:kern w:val="0"/>
          <w:sz w:val="32"/>
          <w:szCs w:val="32"/>
          <w:lang w:val="en-US" w:eastAsia="zh-CN" w:bidi="zh-CN"/>
        </w:rPr>
      </w:pP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eastAsia" w:ascii="仿宋_GB2312" w:hAnsi="仿宋_GB2312" w:eastAsia="仿宋_GB2312" w:cs="仿宋_GB2312"/>
          <w:spacing w:val="-10"/>
          <w:kern w:val="0"/>
          <w:sz w:val="32"/>
          <w:szCs w:val="32"/>
          <w:lang w:val="en-US" w:eastAsia="zh-CN" w:bidi="zh-CN"/>
        </w:rPr>
      </w:pP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eastAsia" w:ascii="仿宋_GB2312" w:hAnsi="仿宋_GB2312" w:eastAsia="仿宋_GB2312" w:cs="仿宋_GB2312"/>
          <w:spacing w:val="-10"/>
          <w:kern w:val="0"/>
          <w:sz w:val="32"/>
          <w:szCs w:val="32"/>
          <w:lang w:val="en-US" w:eastAsia="zh-CN" w:bidi="zh-CN"/>
        </w:rPr>
      </w:pPr>
    </w:p>
    <w:p>
      <w:pPr>
        <w:keepNext w:val="0"/>
        <w:keepLines w:val="0"/>
        <w:pageBreakBefore w:val="0"/>
        <w:widowControl w:val="0"/>
        <w:kinsoku/>
        <w:wordWrap w:val="0"/>
        <w:overflowPunct/>
        <w:topLinePunct w:val="0"/>
        <w:autoSpaceDE/>
        <w:autoSpaceDN/>
        <w:bidi w:val="0"/>
        <w:adjustRightInd/>
        <w:snapToGrid/>
        <w:spacing w:line="620" w:lineRule="exact"/>
        <w:ind w:firstLine="600" w:firstLineChars="200"/>
        <w:jc w:val="right"/>
        <w:textAlignment w:val="auto"/>
        <w:rPr>
          <w:rFonts w:hint="default" w:ascii="仿宋_GB2312" w:hAnsi="仿宋_GB2312" w:eastAsia="仿宋_GB2312" w:cs="仿宋_GB2312"/>
          <w:spacing w:val="-10"/>
          <w:kern w:val="0"/>
          <w:sz w:val="32"/>
          <w:szCs w:val="32"/>
          <w:lang w:val="en-US" w:eastAsia="zh-CN" w:bidi="zh-CN"/>
        </w:rPr>
      </w:pPr>
      <w:r>
        <w:rPr>
          <w:rFonts w:hint="eastAsia" w:ascii="仿宋_GB2312" w:hAnsi="仿宋_GB2312" w:eastAsia="仿宋_GB2312" w:cs="仿宋_GB2312"/>
          <w:spacing w:val="-10"/>
          <w:kern w:val="0"/>
          <w:sz w:val="32"/>
          <w:szCs w:val="32"/>
          <w:lang w:val="en-US" w:eastAsia="zh-CN" w:bidi="zh-CN"/>
        </w:rPr>
        <w:t xml:space="preserve">赣州市国资委      </w:t>
      </w:r>
    </w:p>
    <w:p>
      <w:pPr>
        <w:keepNext w:val="0"/>
        <w:keepLines w:val="0"/>
        <w:pageBreakBefore w:val="0"/>
        <w:widowControl w:val="0"/>
        <w:kinsoku/>
        <w:wordWrap w:val="0"/>
        <w:overflowPunct/>
        <w:topLinePunct w:val="0"/>
        <w:autoSpaceDE/>
        <w:autoSpaceDN/>
        <w:bidi w:val="0"/>
        <w:adjustRightInd/>
        <w:snapToGrid/>
        <w:spacing w:line="620" w:lineRule="exact"/>
        <w:ind w:firstLine="600" w:firstLineChars="200"/>
        <w:jc w:val="right"/>
        <w:textAlignment w:val="auto"/>
        <w:rPr>
          <w:rFonts w:hint="eastAsia" w:ascii="仿宋_GB2312" w:hAnsi="仿宋_GB2312" w:eastAsia="仿宋_GB2312" w:cs="仿宋_GB2312"/>
          <w:spacing w:val="-10"/>
          <w:kern w:val="0"/>
          <w:sz w:val="32"/>
          <w:szCs w:val="32"/>
          <w:lang w:val="en-US" w:eastAsia="zh-CN" w:bidi="zh-CN"/>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仿宋_GB2312" w:hAnsi="仿宋_GB2312" w:eastAsia="仿宋_GB2312" w:cs="仿宋_GB2312"/>
          <w:spacing w:val="-10"/>
          <w:kern w:val="0"/>
          <w:sz w:val="32"/>
          <w:szCs w:val="32"/>
          <w:lang w:val="en-US" w:eastAsia="zh-CN" w:bidi="zh-CN"/>
        </w:rPr>
        <w:t xml:space="preserve">2023年4月18日    </w:t>
      </w:r>
    </w:p>
    <w:p>
      <w:pPr>
        <w:pStyle w:val="4"/>
        <w:ind w:left="228"/>
      </w:pPr>
    </w:p>
    <w:p>
      <w:pPr>
        <w:pStyle w:val="4"/>
        <w:ind w:left="228"/>
      </w:pPr>
    </w:p>
    <w:p>
      <w:pPr>
        <w:pStyle w:val="4"/>
        <w:ind w:left="228"/>
      </w:pPr>
    </w:p>
    <w:p>
      <w:pPr>
        <w:pStyle w:val="4"/>
        <w:ind w:left="228"/>
      </w:pPr>
    </w:p>
    <w:p>
      <w:pPr>
        <w:pStyle w:val="4"/>
        <w:ind w:left="228"/>
      </w:pPr>
    </w:p>
    <w:p>
      <w:pPr>
        <w:pStyle w:val="4"/>
        <w:ind w:left="228"/>
      </w:pPr>
    </w:p>
    <w:p>
      <w:pPr>
        <w:pStyle w:val="4"/>
        <w:ind w:left="228"/>
      </w:pPr>
    </w:p>
    <w:p>
      <w:pPr>
        <w:pStyle w:val="4"/>
        <w:ind w:left="228"/>
      </w:pPr>
    </w:p>
    <w:p>
      <w:pPr>
        <w:pStyle w:val="4"/>
        <w:ind w:left="228"/>
      </w:pPr>
    </w:p>
    <w:p>
      <w:pPr>
        <w:pStyle w:val="4"/>
        <w:ind w:left="228"/>
      </w:pPr>
    </w:p>
    <w:p>
      <w:pPr>
        <w:pStyle w:val="4"/>
        <w:ind w:left="228"/>
      </w:pPr>
    </w:p>
    <w:p>
      <w:pPr>
        <w:pStyle w:val="4"/>
        <w:ind w:left="228"/>
      </w:pPr>
    </w:p>
    <w:p>
      <w:pPr>
        <w:pStyle w:val="4"/>
        <w:ind w:left="228"/>
      </w:pPr>
    </w:p>
    <w:p>
      <w:pPr>
        <w:pStyle w:val="4"/>
        <w:ind w:left="228"/>
      </w:pPr>
    </w:p>
    <w:p>
      <w:pPr>
        <w:pStyle w:val="4"/>
        <w:ind w:left="228"/>
      </w:pPr>
    </w:p>
    <w:p>
      <w:pPr>
        <w:pStyle w:val="4"/>
        <w:ind w:left="228"/>
      </w:pPr>
    </w:p>
    <w:p>
      <w:pPr>
        <w:pStyle w:val="4"/>
        <w:ind w:left="228"/>
      </w:pPr>
    </w:p>
    <w:p>
      <w:pPr>
        <w:pStyle w:val="4"/>
        <w:ind w:left="228"/>
      </w:pPr>
    </w:p>
    <w:p>
      <w:pPr>
        <w:pStyle w:val="4"/>
        <w:ind w:left="228"/>
      </w:pPr>
    </w:p>
    <w:p>
      <w:pPr>
        <w:pStyle w:val="4"/>
        <w:ind w:left="228"/>
      </w:pPr>
    </w:p>
    <w:p>
      <w:pPr>
        <w:pStyle w:val="4"/>
        <w:ind w:left="228"/>
      </w:pPr>
    </w:p>
    <w:p>
      <w:pPr>
        <w:pStyle w:val="4"/>
        <w:ind w:left="228"/>
      </w:pPr>
    </w:p>
    <w:p>
      <w:pPr>
        <w:pStyle w:val="4"/>
        <w:ind w:left="228"/>
      </w:pPr>
    </w:p>
    <w:p>
      <w:pPr>
        <w:pStyle w:val="4"/>
        <w:ind w:left="228"/>
      </w:pPr>
    </w:p>
    <w:p>
      <w:pPr>
        <w:pStyle w:val="4"/>
        <w:ind w:left="228"/>
      </w:pPr>
    </w:p>
    <w:p>
      <w:pPr>
        <w:pStyle w:val="4"/>
        <w:ind w:left="228"/>
      </w:pPr>
    </w:p>
    <w:p>
      <w:pPr>
        <w:pStyle w:val="4"/>
        <w:ind w:left="228"/>
      </w:pPr>
    </w:p>
    <w:p>
      <w:pPr>
        <w:pStyle w:val="4"/>
        <w:ind w:left="228"/>
      </w:pPr>
    </w:p>
    <w:p>
      <w:pPr>
        <w:pStyle w:val="4"/>
        <w:keepNext w:val="0"/>
        <w:keepLines w:val="0"/>
        <w:pageBreakBefore w:val="0"/>
        <w:widowControl w:val="0"/>
        <w:kinsoku/>
        <w:wordWrap/>
        <w:overflowPunct/>
        <w:topLinePunct w:val="0"/>
        <w:autoSpaceDE/>
        <w:autoSpaceDN/>
        <w:bidi w:val="0"/>
        <w:adjustRightInd/>
        <w:snapToGrid/>
        <w:ind w:firstLine="640" w:firstLineChars="200"/>
        <w:textAlignment w:val="auto"/>
      </w:pPr>
      <w:r>
        <w:t>抄送：市</w:t>
      </w:r>
      <w:r>
        <w:rPr>
          <w:rFonts w:hint="eastAsia"/>
          <w:lang w:val="en-US" w:eastAsia="zh-CN"/>
        </w:rPr>
        <w:t>政协提案</w:t>
      </w:r>
      <w:r>
        <w:t>委、市政府督查室</w:t>
      </w:r>
    </w:p>
    <w:tbl>
      <w:tblPr>
        <w:tblStyle w:val="8"/>
        <w:tblpPr w:leftFromText="180" w:rightFromText="180" w:vertAnchor="text" w:horzAnchor="page" w:tblpX="1570" w:tblpY="49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tcBorders>
              <w:left w:val="nil"/>
              <w:right w:val="nil"/>
            </w:tcBorders>
            <w:noWrap w:val="0"/>
            <w:vAlign w:val="center"/>
          </w:tcPr>
          <w:p>
            <w:pPr>
              <w:keepNext w:val="0"/>
              <w:keepLines w:val="0"/>
              <w:pageBreakBefore w:val="0"/>
              <w:widowControl w:val="0"/>
              <w:tabs>
                <w:tab w:val="right" w:pos="8845"/>
              </w:tabs>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pacing w:val="-10"/>
                <w:kern w:val="0"/>
                <w:sz w:val="30"/>
                <w:szCs w:val="30"/>
                <w:lang w:val="en-US" w:eastAsia="zh-CN" w:bidi="zh-CN"/>
              </w:rPr>
              <w:t>赣州市国资委办公室                        2023年4月18</w:t>
            </w:r>
            <w:bookmarkStart w:id="0" w:name="_GoBack"/>
            <w:bookmarkEnd w:id="0"/>
            <w:r>
              <w:rPr>
                <w:rFonts w:hint="eastAsia" w:ascii="仿宋_GB2312" w:hAnsi="仿宋_GB2312" w:eastAsia="仿宋_GB2312" w:cs="仿宋_GB2312"/>
                <w:spacing w:val="-10"/>
                <w:kern w:val="0"/>
                <w:sz w:val="30"/>
                <w:szCs w:val="30"/>
                <w:lang w:val="en-US" w:eastAsia="zh-CN" w:bidi="zh-CN"/>
              </w:rPr>
              <w:t>日印发</w:t>
            </w:r>
          </w:p>
        </w:tc>
      </w:tr>
    </w:tbl>
    <w:p>
      <w:pPr>
        <w:pStyle w:val="4"/>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eastAsia="zh-CN"/>
        </w:rPr>
        <w:t>联系人及电话：丁克林，</w:t>
      </w:r>
      <w:r>
        <w:rPr>
          <w:rFonts w:hint="eastAsia"/>
          <w:lang w:val="en-US" w:eastAsia="zh-CN"/>
        </w:rPr>
        <w:t>8996681</w:t>
      </w:r>
    </w:p>
    <w:sectPr>
      <w:footerReference r:id="rId4" w:type="default"/>
      <w:footerReference r:id="rId5" w:type="even"/>
      <w:pgSz w:w="11910" w:h="16840"/>
      <w:pgMar w:top="2098" w:right="1474" w:bottom="1984" w:left="1587" w:header="850" w:footer="85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928110D"/>
    <w:rsid w:val="0B57694E"/>
    <w:rsid w:val="0BD95485"/>
    <w:rsid w:val="0C8A557D"/>
    <w:rsid w:val="0D005079"/>
    <w:rsid w:val="12C16C73"/>
    <w:rsid w:val="15EA028F"/>
    <w:rsid w:val="16C75518"/>
    <w:rsid w:val="177FE761"/>
    <w:rsid w:val="17BB2AC5"/>
    <w:rsid w:val="1A73307E"/>
    <w:rsid w:val="1C7B4DFC"/>
    <w:rsid w:val="1EB678A8"/>
    <w:rsid w:val="1EC50373"/>
    <w:rsid w:val="20281AF8"/>
    <w:rsid w:val="21674E89"/>
    <w:rsid w:val="22C571C7"/>
    <w:rsid w:val="238D6014"/>
    <w:rsid w:val="24A828FC"/>
    <w:rsid w:val="258C1DF4"/>
    <w:rsid w:val="266746D7"/>
    <w:rsid w:val="2942529C"/>
    <w:rsid w:val="2A5341FD"/>
    <w:rsid w:val="2A9B085D"/>
    <w:rsid w:val="2D6D3827"/>
    <w:rsid w:val="2FF009A2"/>
    <w:rsid w:val="34526158"/>
    <w:rsid w:val="3671264C"/>
    <w:rsid w:val="3806517F"/>
    <w:rsid w:val="3A347BA7"/>
    <w:rsid w:val="3ABD4CA7"/>
    <w:rsid w:val="3CDB7EC5"/>
    <w:rsid w:val="3D9618AB"/>
    <w:rsid w:val="3F516B05"/>
    <w:rsid w:val="3FBD315F"/>
    <w:rsid w:val="410865E2"/>
    <w:rsid w:val="43D238E4"/>
    <w:rsid w:val="44670B79"/>
    <w:rsid w:val="46FC1A4C"/>
    <w:rsid w:val="4BDA37C4"/>
    <w:rsid w:val="50A021C6"/>
    <w:rsid w:val="53E4700B"/>
    <w:rsid w:val="57730263"/>
    <w:rsid w:val="5B4517BC"/>
    <w:rsid w:val="5B7E0869"/>
    <w:rsid w:val="5BBEA96F"/>
    <w:rsid w:val="5EA01FB9"/>
    <w:rsid w:val="5F486883"/>
    <w:rsid w:val="5FD8755D"/>
    <w:rsid w:val="65297A59"/>
    <w:rsid w:val="65D33E68"/>
    <w:rsid w:val="65D8322D"/>
    <w:rsid w:val="667BFD47"/>
    <w:rsid w:val="67DB1E25"/>
    <w:rsid w:val="68866B0F"/>
    <w:rsid w:val="6AFE28BF"/>
    <w:rsid w:val="6B0B7C00"/>
    <w:rsid w:val="6E53760E"/>
    <w:rsid w:val="7431020B"/>
    <w:rsid w:val="74947813"/>
    <w:rsid w:val="7548217D"/>
    <w:rsid w:val="755F3023"/>
    <w:rsid w:val="775070C7"/>
    <w:rsid w:val="78145ABB"/>
    <w:rsid w:val="791B5FB3"/>
    <w:rsid w:val="7AF9080E"/>
    <w:rsid w:val="7D97FE47"/>
    <w:rsid w:val="BDFF1E1F"/>
    <w:rsid w:val="EBFFE4AF"/>
    <w:rsid w:val="FEF7E94D"/>
    <w:rsid w:val="FF3FBBFB"/>
    <w:rsid w:val="FFFDB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20"/>
      <w:outlineLvl w:val="1"/>
    </w:pPr>
    <w:rPr>
      <w:rFonts w:ascii="方正小标宋简体" w:hAnsi="方正小标宋简体" w:eastAsia="方正小标宋简体" w:cs="方正小标宋简体"/>
      <w:sz w:val="44"/>
      <w:szCs w:val="44"/>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List Paragraph_79509fb5-35c8-4ba6-933c-cbb5f3a1e6d0"/>
    <w:basedOn w:val="1"/>
    <w:qFormat/>
    <w:uiPriority w:val="34"/>
    <w:pPr>
      <w:ind w:firstLine="420" w:firstLineChars="200"/>
    </w:p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2023-04-16T15:13:00Z</dcterms:created>
  <dc:creator>huawei</dc:creator>
  <cp:lastModifiedBy>user</cp:lastModifiedBy>
  <dcterms:modified xsi:type="dcterms:W3CDTF">2023-04-18T11:11:11Z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18C2949DACBF434D99DD6255F6F95376</vt:lpwstr>
  </property>
</Properties>
</file>