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880" w:firstLineChars="200"/>
        <w:jc w:val="center"/>
        <w:outlineLvl w:val="0"/>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赣州市生态环境局</w:t>
      </w:r>
    </w:p>
    <w:p>
      <w:pPr>
        <w:spacing w:line="560" w:lineRule="exact"/>
        <w:ind w:firstLine="880" w:firstLineChars="200"/>
        <w:jc w:val="center"/>
        <w:outlineLvl w:val="0"/>
        <w:rPr>
          <w:color w:val="000000" w:themeColor="text1"/>
        </w:rPr>
      </w:pPr>
      <w:r>
        <w:rPr>
          <w:rFonts w:hint="eastAsia" w:ascii="方正小标宋简体" w:hAnsi="方正小标宋简体" w:eastAsia="方正小标宋简体" w:cs="方正小标宋简体"/>
          <w:color w:val="000000"/>
          <w:sz w:val="44"/>
          <w:szCs w:val="44"/>
        </w:rPr>
        <w:t>20</w:t>
      </w:r>
      <w:r>
        <w:rPr>
          <w:rFonts w:hint="eastAsia" w:ascii="方正小标宋简体" w:hAnsi="方正小标宋简体" w:eastAsia="方正小标宋简体" w:cs="方正小标宋简体"/>
          <w:color w:val="000000"/>
          <w:sz w:val="44"/>
          <w:szCs w:val="44"/>
          <w:lang w:val="en-US" w:eastAsia="zh-CN"/>
        </w:rPr>
        <w:t>20</w:t>
      </w:r>
      <w:r>
        <w:rPr>
          <w:rFonts w:hint="eastAsia" w:ascii="方正小标宋简体" w:hAnsi="方正小标宋简体" w:eastAsia="方正小标宋简体" w:cs="方正小标宋简体"/>
          <w:color w:val="000000"/>
          <w:sz w:val="44"/>
          <w:szCs w:val="44"/>
        </w:rPr>
        <w:t>年政府信息公开</w:t>
      </w:r>
      <w:r>
        <w:rPr>
          <w:rFonts w:hint="eastAsia" w:ascii="方正小标宋简体" w:hAnsi="方正小标宋简体" w:eastAsia="方正小标宋简体" w:cs="方正小标宋简体"/>
          <w:color w:val="000000"/>
          <w:sz w:val="44"/>
          <w:szCs w:val="44"/>
          <w:lang w:val="en-US" w:eastAsia="zh-CN"/>
        </w:rPr>
        <w:t>工作</w:t>
      </w:r>
      <w:r>
        <w:rPr>
          <w:rFonts w:hint="eastAsia" w:ascii="方正小标宋简体" w:hAnsi="方正小标宋简体" w:eastAsia="方正小标宋简体" w:cs="方正小标宋简体"/>
          <w:color w:val="000000"/>
          <w:sz w:val="44"/>
          <w:szCs w:val="44"/>
        </w:rPr>
        <w:t>年度报告</w:t>
      </w:r>
    </w:p>
    <w:p>
      <w:pPr>
        <w:spacing w:line="560" w:lineRule="exact"/>
        <w:ind w:firstLine="640" w:firstLineChars="200"/>
        <w:rPr>
          <w:rFonts w:ascii="黑体" w:hAnsi="仿宋" w:eastAsia="黑体" w:cs="仿宋"/>
          <w:color w:val="000000" w:themeColor="text1"/>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sz w:val="32"/>
          <w:szCs w:val="32"/>
        </w:rPr>
        <w:t>根据《中华人民共和国政府信息公开条例》，特编制20</w:t>
      </w:r>
      <w:r>
        <w:rPr>
          <w:rFonts w:hint="eastAsia" w:ascii="仿宋_GB2312" w:hAnsi="仿宋" w:eastAsia="仿宋_GB2312" w:cs="仿宋"/>
          <w:color w:val="000000" w:themeColor="text1"/>
          <w:sz w:val="32"/>
          <w:szCs w:val="32"/>
          <w:lang w:val="en-US" w:eastAsia="zh-CN"/>
        </w:rPr>
        <w:t>20</w:t>
      </w:r>
      <w:r>
        <w:rPr>
          <w:rFonts w:hint="eastAsia" w:ascii="仿宋_GB2312" w:hAnsi="仿宋" w:eastAsia="仿宋_GB2312" w:cs="仿宋"/>
          <w:color w:val="000000" w:themeColor="text1"/>
          <w:sz w:val="32"/>
          <w:szCs w:val="32"/>
        </w:rPr>
        <w:t>年度赣州市生态环境局政府信息公开</w:t>
      </w:r>
      <w:r>
        <w:rPr>
          <w:rFonts w:hint="eastAsia" w:ascii="仿宋_GB2312" w:hAnsi="仿宋" w:eastAsia="仿宋_GB2312" w:cs="仿宋"/>
          <w:color w:val="000000" w:themeColor="text1"/>
          <w:sz w:val="32"/>
          <w:szCs w:val="32"/>
          <w:lang w:val="en-US" w:eastAsia="zh-CN"/>
        </w:rPr>
        <w:t>工作</w:t>
      </w:r>
      <w:r>
        <w:rPr>
          <w:rFonts w:hint="eastAsia" w:ascii="仿宋_GB2312" w:hAnsi="仿宋" w:eastAsia="仿宋_GB2312" w:cs="仿宋"/>
          <w:color w:val="000000" w:themeColor="text1"/>
          <w:sz w:val="32"/>
          <w:szCs w:val="32"/>
        </w:rPr>
        <w:t>年度报告。本报告由总体情况、主动公开政府信息情况、收到和处理政府信息公开申请情况、政府信息公开行政复议和行政诉讼情况、存在的主要问题及改进情况、其他需要报告的事项六个部分组成。</w:t>
      </w:r>
    </w:p>
    <w:p>
      <w:pPr>
        <w:spacing w:line="560" w:lineRule="exact"/>
        <w:ind w:firstLine="640" w:firstLineChars="200"/>
        <w:jc w:val="both"/>
        <w:rPr>
          <w:rFonts w:ascii="黑体" w:hAnsi="仿宋" w:eastAsia="黑体" w:cs="仿宋"/>
          <w:color w:val="C00000"/>
          <w:sz w:val="32"/>
          <w:szCs w:val="32"/>
        </w:rPr>
      </w:pPr>
      <w:r>
        <w:rPr>
          <w:rFonts w:hint="eastAsia" w:ascii="仿宋_GB2312" w:hAnsi="仿宋" w:eastAsia="仿宋_GB2312" w:cs="仿宋"/>
          <w:color w:val="000000" w:themeColor="text1"/>
          <w:sz w:val="32"/>
          <w:szCs w:val="32"/>
        </w:rPr>
        <w:t>本报告中所列数据统计期限从20</w:t>
      </w:r>
      <w:r>
        <w:rPr>
          <w:rFonts w:hint="eastAsia" w:ascii="仿宋_GB2312" w:hAnsi="仿宋" w:eastAsia="仿宋_GB2312" w:cs="仿宋"/>
          <w:color w:val="000000" w:themeColor="text1"/>
          <w:sz w:val="32"/>
          <w:szCs w:val="32"/>
          <w:lang w:val="en-US" w:eastAsia="zh-CN"/>
        </w:rPr>
        <w:t>20</w:t>
      </w:r>
      <w:r>
        <w:rPr>
          <w:rFonts w:hint="eastAsia" w:ascii="仿宋_GB2312" w:hAnsi="仿宋" w:eastAsia="仿宋_GB2312" w:cs="仿宋"/>
          <w:color w:val="000000" w:themeColor="text1"/>
          <w:sz w:val="32"/>
          <w:szCs w:val="32"/>
        </w:rPr>
        <w:t>年1月1日至20</w:t>
      </w:r>
      <w:r>
        <w:rPr>
          <w:rFonts w:hint="eastAsia" w:ascii="仿宋_GB2312" w:hAnsi="仿宋" w:eastAsia="仿宋_GB2312" w:cs="仿宋"/>
          <w:color w:val="000000" w:themeColor="text1"/>
          <w:sz w:val="32"/>
          <w:szCs w:val="32"/>
          <w:lang w:val="en-US" w:eastAsia="zh-CN"/>
        </w:rPr>
        <w:t>20</w:t>
      </w:r>
      <w:r>
        <w:rPr>
          <w:rFonts w:hint="eastAsia" w:ascii="仿宋_GB2312" w:hAnsi="仿宋" w:eastAsia="仿宋_GB2312" w:cs="仿宋"/>
          <w:color w:val="000000" w:themeColor="text1"/>
          <w:sz w:val="32"/>
          <w:szCs w:val="32"/>
        </w:rPr>
        <w:t>年12月31日止。本报告将在赣州市人民政府网站“政府信息公开”</w:t>
      </w:r>
      <w:r>
        <w:rPr>
          <w:rFonts w:hint="eastAsia" w:ascii="仿宋_GB2312" w:hAnsi="仿宋" w:eastAsia="仿宋_GB2312" w:cs="仿宋"/>
          <w:color w:val="000000" w:themeColor="text1"/>
          <w:sz w:val="32"/>
          <w:szCs w:val="32"/>
          <w:lang w:val="en-US" w:eastAsia="zh-CN"/>
        </w:rPr>
        <w:t>栏目</w:t>
      </w:r>
      <w:r>
        <w:rPr>
          <w:rFonts w:hint="eastAsia" w:ascii="仿宋_GB2312" w:hAnsi="仿宋" w:eastAsia="仿宋_GB2312" w:cs="仿宋"/>
          <w:color w:val="000000" w:themeColor="text1"/>
          <w:sz w:val="32"/>
          <w:szCs w:val="32"/>
        </w:rPr>
        <w:t>下“</w:t>
      </w:r>
      <w:r>
        <w:rPr>
          <w:rFonts w:hint="eastAsia" w:ascii="仿宋_GB2312" w:hAnsi="仿宋" w:eastAsia="仿宋_GB2312" w:cs="仿宋"/>
          <w:color w:val="000000" w:themeColor="text1"/>
          <w:sz w:val="32"/>
          <w:szCs w:val="32"/>
          <w:lang w:val="en-US" w:eastAsia="zh-CN"/>
        </w:rPr>
        <w:t>法定主动公开内容</w:t>
      </w:r>
      <w:r>
        <w:rPr>
          <w:rFonts w:hint="eastAsia" w:ascii="仿宋_GB2312" w:hAnsi="仿宋" w:eastAsia="仿宋_GB2312" w:cs="仿宋"/>
          <w:color w:val="000000" w:themeColor="text1"/>
          <w:sz w:val="32"/>
          <w:szCs w:val="32"/>
        </w:rPr>
        <w:t>&gt; 市政府各部门信息公开&gt; 市生态环境局&gt; </w:t>
      </w:r>
      <w:r>
        <w:rPr>
          <w:rFonts w:hint="eastAsia" w:ascii="仿宋_GB2312" w:hAnsi="仿宋" w:eastAsia="仿宋_GB2312" w:cs="仿宋"/>
          <w:color w:val="000000" w:themeColor="text1"/>
          <w:sz w:val="32"/>
          <w:szCs w:val="32"/>
          <w:lang w:val="en-US" w:eastAsia="zh-CN"/>
        </w:rPr>
        <w:t>政府信息公开年报</w:t>
      </w:r>
      <w:r>
        <w:rPr>
          <w:rFonts w:hint="eastAsia" w:ascii="仿宋_GB2312" w:hAnsi="仿宋" w:eastAsia="仿宋_GB2312" w:cs="仿宋"/>
          <w:color w:val="000000" w:themeColor="text1"/>
          <w:sz w:val="32"/>
          <w:szCs w:val="32"/>
        </w:rPr>
        <w:t>”</w:t>
      </w:r>
      <w:r>
        <w:rPr>
          <w:rFonts w:hint="eastAsia" w:ascii="仿宋_GB2312" w:hAnsi="仿宋" w:eastAsia="仿宋_GB2312" w:cs="仿宋"/>
          <w:color w:val="000000" w:themeColor="text1"/>
          <w:sz w:val="32"/>
          <w:szCs w:val="32"/>
          <w:lang w:val="en-US" w:eastAsia="zh-CN"/>
        </w:rPr>
        <w:t>及</w:t>
      </w:r>
      <w:r>
        <w:rPr>
          <w:rFonts w:hint="eastAsia" w:ascii="仿宋_GB2312" w:hAnsi="仿宋" w:eastAsia="仿宋_GB2312" w:cs="仿宋"/>
          <w:color w:val="000000" w:themeColor="text1"/>
          <w:sz w:val="32"/>
          <w:szCs w:val="32"/>
        </w:rPr>
        <w:t>赣州市生态环境局网站“政府信息公开”下“</w:t>
      </w:r>
      <w:r>
        <w:rPr>
          <w:rFonts w:hint="eastAsia" w:ascii="仿宋_GB2312" w:hAnsi="仿宋" w:eastAsia="仿宋_GB2312" w:cs="仿宋"/>
          <w:color w:val="000000" w:themeColor="text1"/>
          <w:sz w:val="32"/>
          <w:szCs w:val="32"/>
          <w:lang w:val="en-US" w:eastAsia="zh-CN"/>
        </w:rPr>
        <w:t>政府信息公开年报</w:t>
      </w:r>
      <w:r>
        <w:rPr>
          <w:rFonts w:hint="eastAsia" w:ascii="仿宋_GB2312" w:hAnsi="仿宋" w:eastAsia="仿宋_GB2312" w:cs="仿宋"/>
          <w:color w:val="000000" w:themeColor="text1"/>
          <w:sz w:val="32"/>
          <w:szCs w:val="32"/>
        </w:rPr>
        <w:t>”栏目全文公布。</w:t>
      </w:r>
    </w:p>
    <w:p>
      <w:pPr>
        <w:spacing w:line="560" w:lineRule="exact"/>
        <w:ind w:firstLine="640" w:firstLineChars="200"/>
        <w:outlineLvl w:val="0"/>
        <w:rPr>
          <w:rFonts w:hint="eastAsia" w:ascii="仿宋_GB2312" w:hAnsi="仿宋" w:eastAsia="仿宋_GB2312" w:cs="仿宋"/>
          <w:color w:val="000000" w:themeColor="text1"/>
          <w:sz w:val="32"/>
          <w:szCs w:val="32"/>
          <w:lang w:val="en-US" w:eastAsia="zh-CN"/>
        </w:rPr>
      </w:pPr>
      <w:r>
        <w:rPr>
          <w:rFonts w:hint="eastAsia" w:ascii="黑体" w:hAnsi="仿宋" w:eastAsia="黑体" w:cs="仿宋"/>
          <w:color w:val="000000" w:themeColor="text1"/>
          <w:sz w:val="32"/>
          <w:szCs w:val="32"/>
        </w:rPr>
        <w:t>一、总体情况</w:t>
      </w:r>
    </w:p>
    <w:p>
      <w:pPr>
        <w:spacing w:line="560" w:lineRule="exact"/>
        <w:ind w:firstLine="640" w:firstLineChars="200"/>
        <w:jc w:val="both"/>
        <w:rPr>
          <w:rFonts w:hint="eastAsia" w:ascii="仿宋_GB2312" w:hAnsi="仿宋" w:eastAsia="仿宋_GB2312" w:cs="仿宋"/>
          <w:color w:val="auto"/>
          <w:sz w:val="32"/>
          <w:szCs w:val="32"/>
        </w:rPr>
      </w:pPr>
      <w:r>
        <w:rPr>
          <w:rFonts w:hint="eastAsia" w:ascii="仿宋_GB2312" w:hAnsi="仿宋" w:eastAsia="仿宋_GB2312" w:cs="仿宋"/>
          <w:color w:val="auto"/>
          <w:sz w:val="32"/>
          <w:szCs w:val="32"/>
          <w:lang w:val="en-US" w:eastAsia="zh-CN"/>
        </w:rPr>
        <w:t>2020年我局坚持以习近平新时代中国特色社会主义思想为指导，深入贯彻党的十九大和十九届二中、三中、四中、五中全会精神，认真贯彻落实国家、省市关于政务公开工作的系列部署要求，按照</w:t>
      </w:r>
      <w:r>
        <w:rPr>
          <w:rFonts w:hint="eastAsia" w:ascii="仿宋_GB2312" w:hAnsi="仿宋" w:eastAsia="仿宋_GB2312" w:cs="仿宋"/>
          <w:color w:val="auto"/>
          <w:sz w:val="32"/>
          <w:szCs w:val="32"/>
          <w:lang w:eastAsia="zh-CN"/>
        </w:rPr>
        <w:t>《</w:t>
      </w:r>
      <w:r>
        <w:rPr>
          <w:rFonts w:hint="eastAsia" w:ascii="仿宋_GB2312" w:hAnsi="仿宋" w:eastAsia="仿宋_GB2312" w:cs="仿宋"/>
          <w:color w:val="auto"/>
          <w:sz w:val="32"/>
          <w:szCs w:val="32"/>
          <w:lang w:val="en-US" w:eastAsia="zh-CN"/>
        </w:rPr>
        <w:t>赣州市人民政府关于贯彻落实2020年江西省政务公开工作要点有关事项的通知</w:t>
      </w:r>
      <w:r>
        <w:rPr>
          <w:rFonts w:hint="eastAsia" w:ascii="仿宋_GB2312" w:hAnsi="仿宋" w:eastAsia="仿宋_GB2312" w:cs="仿宋"/>
          <w:color w:val="auto"/>
          <w:sz w:val="32"/>
          <w:szCs w:val="32"/>
          <w:lang w:eastAsia="zh-CN"/>
        </w:rPr>
        <w:t>》</w:t>
      </w:r>
      <w:r>
        <w:rPr>
          <w:rFonts w:hint="eastAsia" w:ascii="仿宋_GB2312" w:hAnsi="仿宋" w:eastAsia="仿宋_GB2312" w:cs="仿宋"/>
          <w:b w:val="0"/>
          <w:bCs w:val="0"/>
          <w:color w:val="auto"/>
          <w:kern w:val="2"/>
          <w:sz w:val="32"/>
          <w:szCs w:val="32"/>
          <w:lang w:val="en-US" w:eastAsia="zh-CN" w:bidi="ar-SA"/>
        </w:rPr>
        <w:t>《赣州市人民政府办公室关于做好基层政务公开标准化规范化工作的通知》明确的</w:t>
      </w:r>
      <w:r>
        <w:rPr>
          <w:rFonts w:hint="eastAsia" w:ascii="仿宋_GB2312" w:hAnsi="仿宋" w:eastAsia="仿宋_GB2312" w:cs="仿宋"/>
          <w:color w:val="auto"/>
          <w:sz w:val="32"/>
          <w:szCs w:val="32"/>
          <w:lang w:val="en-US" w:eastAsia="zh-CN"/>
        </w:rPr>
        <w:t>目标任务</w:t>
      </w:r>
      <w:r>
        <w:rPr>
          <w:rFonts w:hint="eastAsia" w:ascii="仿宋_GB2312" w:hAnsi="仿宋" w:eastAsia="仿宋_GB2312" w:cs="仿宋"/>
          <w:color w:val="auto"/>
          <w:sz w:val="32"/>
          <w:szCs w:val="32"/>
        </w:rPr>
        <w:t>，</w:t>
      </w:r>
      <w:r>
        <w:rPr>
          <w:rFonts w:hint="eastAsia" w:ascii="仿宋_GB2312" w:hAnsi="仿宋" w:eastAsia="仿宋_GB2312" w:cs="仿宋"/>
          <w:color w:val="auto"/>
          <w:sz w:val="32"/>
          <w:szCs w:val="32"/>
          <w:lang w:val="en-US" w:eastAsia="zh-CN"/>
        </w:rPr>
        <w:t>紧紧围绕生态环境保护中心工作，深入推进政府信息主动公开，不断规范依申请公开工作，加强政府信息管理，抓好平台建设，强化监督保障，增强了公开时效，</w:t>
      </w:r>
      <w:r>
        <w:rPr>
          <w:rFonts w:hint="eastAsia" w:ascii="仿宋_GB2312" w:hAnsi="仿宋" w:eastAsia="仿宋_GB2312" w:cs="仿宋"/>
          <w:color w:val="auto"/>
          <w:sz w:val="32"/>
          <w:szCs w:val="32"/>
        </w:rPr>
        <w:t>保障了公民对生态环境的知情权、参与权和监督权。</w:t>
      </w:r>
    </w:p>
    <w:p>
      <w:pPr>
        <w:adjustRightInd w:val="0"/>
        <w:snapToGrid w:val="0"/>
        <w:spacing w:line="560" w:lineRule="exact"/>
        <w:ind w:firstLine="640" w:firstLineChars="200"/>
        <w:jc w:val="left"/>
        <w:rPr>
          <w:rFonts w:hint="eastAsia" w:ascii="仿宋_GB2312" w:hAnsi="仿宋" w:eastAsia="仿宋_GB2312" w:cs="仿宋"/>
          <w:color w:val="000000" w:themeColor="text1"/>
          <w:sz w:val="32"/>
          <w:szCs w:val="32"/>
          <w:lang w:eastAsia="zh-CN"/>
        </w:rPr>
      </w:pPr>
      <w:r>
        <w:rPr>
          <w:rFonts w:hint="eastAsia" w:ascii="仿宋_GB2312" w:hAnsi="仿宋" w:eastAsia="仿宋_GB2312" w:cs="仿宋"/>
          <w:color w:val="auto"/>
          <w:sz w:val="32"/>
          <w:szCs w:val="32"/>
        </w:rPr>
        <w:t>20</w:t>
      </w:r>
      <w:r>
        <w:rPr>
          <w:rFonts w:hint="eastAsia" w:ascii="仿宋_GB2312" w:hAnsi="仿宋" w:eastAsia="仿宋_GB2312" w:cs="仿宋"/>
          <w:color w:val="auto"/>
          <w:sz w:val="32"/>
          <w:szCs w:val="32"/>
          <w:lang w:val="en-US" w:eastAsia="zh-CN"/>
        </w:rPr>
        <w:t>20</w:t>
      </w:r>
      <w:r>
        <w:rPr>
          <w:rFonts w:hint="eastAsia" w:ascii="仿宋_GB2312" w:hAnsi="仿宋" w:eastAsia="仿宋_GB2312" w:cs="仿宋"/>
          <w:color w:val="auto"/>
          <w:sz w:val="32"/>
          <w:szCs w:val="32"/>
        </w:rPr>
        <w:t>年度，我局主动公开政府信息</w:t>
      </w:r>
      <w:r>
        <w:rPr>
          <w:rFonts w:hint="eastAsia" w:ascii="仿宋_GB2312" w:hAnsi="仿宋" w:eastAsia="仿宋_GB2312" w:cs="仿宋"/>
          <w:color w:val="auto"/>
          <w:sz w:val="32"/>
          <w:szCs w:val="32"/>
          <w:lang w:val="en-US" w:eastAsia="zh-CN"/>
        </w:rPr>
        <w:t>612</w:t>
      </w:r>
      <w:r>
        <w:rPr>
          <w:rFonts w:hint="eastAsia" w:ascii="仿宋_GB2312" w:hAnsi="仿宋" w:eastAsia="仿宋_GB2312" w:cs="仿宋"/>
          <w:color w:val="auto"/>
          <w:sz w:val="32"/>
          <w:szCs w:val="32"/>
        </w:rPr>
        <w:t>条；累计在各平台</w:t>
      </w:r>
      <w:r>
        <w:rPr>
          <w:rFonts w:hint="eastAsia" w:ascii="仿宋_GB2312" w:hAnsi="仿宋" w:eastAsia="仿宋_GB2312" w:cs="仿宋"/>
          <w:color w:val="auto"/>
          <w:sz w:val="32"/>
          <w:szCs w:val="32"/>
          <w:lang w:val="en-US" w:eastAsia="zh-CN"/>
        </w:rPr>
        <w:t>发布</w:t>
      </w:r>
      <w:r>
        <w:rPr>
          <w:rFonts w:hint="eastAsia" w:ascii="仿宋_GB2312" w:hAnsi="仿宋" w:eastAsia="仿宋_GB2312" w:cs="仿宋"/>
          <w:color w:val="auto"/>
          <w:sz w:val="32"/>
          <w:szCs w:val="32"/>
        </w:rPr>
        <w:t>政府信息</w:t>
      </w:r>
      <w:r>
        <w:rPr>
          <w:rFonts w:hint="eastAsia" w:ascii="仿宋_GB2312" w:hAnsi="仿宋" w:eastAsia="仿宋_GB2312" w:cs="仿宋"/>
          <w:color w:val="auto"/>
          <w:sz w:val="32"/>
          <w:szCs w:val="32"/>
          <w:lang w:val="en-US" w:eastAsia="zh-CN"/>
        </w:rPr>
        <w:t>8962</w:t>
      </w:r>
      <w:r>
        <w:rPr>
          <w:rFonts w:hint="eastAsia" w:ascii="仿宋_GB2312" w:hAnsi="仿宋" w:eastAsia="仿宋_GB2312" w:cs="仿宋"/>
          <w:color w:val="auto"/>
          <w:sz w:val="32"/>
          <w:szCs w:val="32"/>
        </w:rPr>
        <w:t>条，其中：赣州市生态环境局网站</w:t>
      </w:r>
      <w:r>
        <w:rPr>
          <w:rFonts w:hint="eastAsia" w:ascii="仿宋_GB2312" w:hAnsi="仿宋" w:eastAsia="仿宋_GB2312" w:cs="仿宋"/>
          <w:color w:val="auto"/>
          <w:sz w:val="32"/>
          <w:szCs w:val="32"/>
          <w:lang w:val="en-US" w:eastAsia="zh-CN"/>
        </w:rPr>
        <w:t>1178</w:t>
      </w:r>
      <w:r>
        <w:rPr>
          <w:rFonts w:hint="eastAsia" w:ascii="仿宋_GB2312" w:hAnsi="仿宋" w:eastAsia="仿宋_GB2312" w:cs="仿宋"/>
          <w:color w:val="000000" w:themeColor="text1"/>
          <w:sz w:val="32"/>
          <w:szCs w:val="32"/>
        </w:rPr>
        <w:t>条</w:t>
      </w:r>
      <w:r>
        <w:rPr>
          <w:rFonts w:hint="eastAsia" w:ascii="仿宋_GB2312" w:hAnsi="仿宋" w:eastAsia="仿宋_GB2312" w:cs="仿宋"/>
          <w:color w:val="000000" w:themeColor="text1"/>
          <w:sz w:val="32"/>
          <w:szCs w:val="32"/>
          <w:lang w:eastAsia="zh-CN"/>
        </w:rPr>
        <w:t>（</w:t>
      </w:r>
      <w:r>
        <w:rPr>
          <w:rFonts w:hint="eastAsia" w:ascii="仿宋_GB2312" w:hAnsi="仿宋" w:eastAsia="仿宋_GB2312" w:cs="仿宋"/>
          <w:color w:val="000000" w:themeColor="text1"/>
          <w:sz w:val="32"/>
          <w:szCs w:val="32"/>
          <w:lang w:val="en-US" w:eastAsia="zh-CN"/>
        </w:rPr>
        <w:t>含环保要闻</w:t>
      </w:r>
      <w:r>
        <w:rPr>
          <w:rFonts w:hint="eastAsia" w:ascii="仿宋_GB2312" w:hAnsi="仿宋" w:eastAsia="仿宋_GB2312" w:cs="仿宋"/>
          <w:color w:val="000000" w:themeColor="text1"/>
          <w:sz w:val="32"/>
          <w:szCs w:val="32"/>
          <w:lang w:eastAsia="zh-CN"/>
        </w:rPr>
        <w:t>）</w:t>
      </w:r>
      <w:r>
        <w:rPr>
          <w:rFonts w:hint="eastAsia" w:ascii="仿宋_GB2312" w:hAnsi="仿宋" w:eastAsia="仿宋_GB2312" w:cs="仿宋"/>
          <w:color w:val="000000" w:themeColor="text1"/>
          <w:sz w:val="32"/>
          <w:szCs w:val="32"/>
        </w:rPr>
        <w:t>，赣州市人民政府网站</w:t>
      </w:r>
      <w:r>
        <w:rPr>
          <w:rFonts w:hint="eastAsia" w:ascii="仿宋_GB2312" w:hAnsi="仿宋" w:eastAsia="仿宋_GB2312" w:cs="仿宋"/>
          <w:color w:val="000000" w:themeColor="text1"/>
          <w:sz w:val="32"/>
          <w:szCs w:val="32"/>
          <w:lang w:val="en-US" w:eastAsia="zh-CN"/>
        </w:rPr>
        <w:t>357</w:t>
      </w:r>
      <w:r>
        <w:rPr>
          <w:rFonts w:hint="eastAsia" w:ascii="仿宋_GB2312" w:hAnsi="仿宋" w:eastAsia="仿宋_GB2312" w:cs="仿宋"/>
          <w:color w:val="000000" w:themeColor="text1"/>
          <w:sz w:val="32"/>
          <w:szCs w:val="32"/>
        </w:rPr>
        <w:t>条，江西省生态环境厅网站</w:t>
      </w:r>
      <w:r>
        <w:rPr>
          <w:rFonts w:hint="eastAsia" w:ascii="仿宋_GB2312" w:hAnsi="仿宋" w:eastAsia="仿宋_GB2312" w:cs="仿宋"/>
          <w:color w:val="000000" w:themeColor="text1"/>
          <w:sz w:val="32"/>
          <w:szCs w:val="32"/>
          <w:lang w:val="en-US" w:eastAsia="zh-CN"/>
        </w:rPr>
        <w:t>43</w:t>
      </w:r>
      <w:r>
        <w:rPr>
          <w:rFonts w:hint="eastAsia" w:ascii="仿宋_GB2312" w:hAnsi="仿宋" w:eastAsia="仿宋_GB2312" w:cs="仿宋"/>
          <w:color w:val="000000" w:themeColor="text1"/>
          <w:sz w:val="32"/>
          <w:szCs w:val="32"/>
        </w:rPr>
        <w:t>条，赣州市生态环境局官方微博</w:t>
      </w:r>
      <w:r>
        <w:rPr>
          <w:rFonts w:hint="eastAsia" w:ascii="仿宋_GB2312" w:hAnsi="仿宋" w:eastAsia="仿宋_GB2312" w:cs="仿宋"/>
          <w:color w:val="000000" w:themeColor="text1"/>
          <w:sz w:val="32"/>
          <w:szCs w:val="32"/>
          <w:lang w:val="en-US" w:eastAsia="zh-CN"/>
        </w:rPr>
        <w:t>6029</w:t>
      </w:r>
      <w:r>
        <w:rPr>
          <w:rFonts w:hint="eastAsia" w:ascii="仿宋_GB2312" w:hAnsi="仿宋" w:eastAsia="仿宋_GB2312" w:cs="仿宋"/>
          <w:color w:val="000000" w:themeColor="text1"/>
          <w:sz w:val="32"/>
          <w:szCs w:val="32"/>
        </w:rPr>
        <w:t>条，赣州环保微信公众平台</w:t>
      </w:r>
      <w:r>
        <w:rPr>
          <w:rFonts w:hint="eastAsia" w:ascii="仿宋_GB2312" w:hAnsi="仿宋" w:eastAsia="仿宋_GB2312" w:cs="仿宋"/>
          <w:color w:val="000000" w:themeColor="text1"/>
          <w:sz w:val="32"/>
          <w:szCs w:val="32"/>
          <w:lang w:val="en-US" w:eastAsia="zh-CN"/>
        </w:rPr>
        <w:t>1355</w:t>
      </w:r>
      <w:r>
        <w:rPr>
          <w:rFonts w:hint="eastAsia" w:ascii="仿宋_GB2312" w:hAnsi="仿宋" w:eastAsia="仿宋_GB2312" w:cs="仿宋"/>
          <w:color w:val="000000" w:themeColor="text1"/>
          <w:sz w:val="32"/>
          <w:szCs w:val="32"/>
        </w:rPr>
        <w:t>条</w:t>
      </w:r>
      <w:r>
        <w:rPr>
          <w:rFonts w:hint="eastAsia" w:ascii="仿宋_GB2312" w:hAnsi="仿宋" w:eastAsia="仿宋_GB2312" w:cs="仿宋"/>
          <w:color w:val="000000" w:themeColor="text1"/>
          <w:sz w:val="32"/>
          <w:szCs w:val="32"/>
          <w:lang w:eastAsia="zh-CN"/>
        </w:rPr>
        <w:t>。</w:t>
      </w:r>
    </w:p>
    <w:p>
      <w:pPr>
        <w:pStyle w:val="2"/>
        <w:jc w:val="center"/>
      </w:pPr>
      <w:r>
        <w:drawing>
          <wp:inline distT="0" distB="0" distL="114300" distR="114300">
            <wp:extent cx="4572000" cy="2743200"/>
            <wp:effectExtent l="4445" t="4445" r="14605" b="1460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jc w:val="center"/>
        <w:rPr>
          <w:rFonts w:hint="eastAsia" w:ascii="楷体" w:hAnsi="楷体" w:eastAsia="楷体" w:cs="楷体"/>
          <w:color w:val="000000" w:themeColor="text1"/>
          <w:sz w:val="32"/>
          <w:szCs w:val="32"/>
          <w:lang w:val="en-US" w:eastAsia="zh-CN"/>
        </w:rPr>
      </w:pPr>
      <w:r>
        <w:rPr>
          <w:rFonts w:hint="eastAsia"/>
          <w:sz w:val="28"/>
          <w:szCs w:val="28"/>
          <w:lang w:val="en-US" w:eastAsia="zh-CN"/>
        </w:rPr>
        <w:t>图1  各平台发布信息数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outlineLvl w:val="1"/>
        <w:rPr>
          <w:rFonts w:hint="eastAsia" w:ascii="楷体" w:hAnsi="楷体" w:eastAsia="楷体" w:cs="楷体"/>
          <w:color w:val="000000" w:themeColor="text1"/>
          <w:sz w:val="32"/>
          <w:szCs w:val="32"/>
          <w:lang w:val="en-US" w:eastAsia="zh-CN"/>
        </w:rPr>
      </w:pPr>
      <w:r>
        <w:rPr>
          <w:rFonts w:hint="eastAsia" w:ascii="楷体" w:hAnsi="楷体" w:eastAsia="楷体" w:cs="楷体"/>
          <w:color w:val="000000" w:themeColor="text1"/>
          <w:sz w:val="32"/>
          <w:szCs w:val="32"/>
          <w:lang w:val="en-US" w:eastAsia="zh-CN"/>
        </w:rPr>
        <w:t>（一）深入推进政府信息主动公开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
          <w:b w:val="0"/>
          <w:bCs w:val="0"/>
          <w:color w:val="auto"/>
          <w:kern w:val="2"/>
          <w:sz w:val="32"/>
          <w:szCs w:val="32"/>
          <w:lang w:val="en-US" w:eastAsia="zh-CN" w:bidi="ar-SA"/>
        </w:rPr>
      </w:pPr>
      <w:r>
        <w:rPr>
          <w:rFonts w:hint="eastAsia" w:ascii="仿宋_GB2312" w:hAnsi="仿宋" w:eastAsia="仿宋_GB2312" w:cs="仿宋"/>
          <w:color w:val="000000" w:themeColor="text1"/>
          <w:sz w:val="32"/>
          <w:szCs w:val="32"/>
          <w:lang w:val="en-US" w:eastAsia="zh-CN"/>
        </w:rPr>
        <w:t>一是做好财务和人事信息公开。</w:t>
      </w:r>
      <w:r>
        <w:rPr>
          <w:rFonts w:hint="eastAsia" w:ascii="仿宋_GB2312" w:hAnsi="仿宋" w:eastAsia="仿宋_GB2312" w:cs="仿宋"/>
          <w:b w:val="0"/>
          <w:bCs w:val="0"/>
          <w:color w:val="auto"/>
          <w:kern w:val="2"/>
          <w:sz w:val="32"/>
          <w:szCs w:val="32"/>
          <w:lang w:val="en-US" w:eastAsia="zh-CN" w:bidi="ar-SA"/>
        </w:rPr>
        <w:t>进一步加大财政资金管理使用情况的公开力度，确保财政资金在阳光下运行，在门户网站及时公示了局机关和下属事业单位2019年决算、2020年部门预算及“三公”经费财政拨款预算情况等信息；在江西省公共资源交易网上对市本级政府采购项目的采购公告、成交公告进行公示，涉及12个项目，总预算金额6032.346万元。及时发布面向社会公开招聘工作人员公告、入闱面试、入闱体检考察、拟聘用人员信息等。及时公开机构职能、内设机构及直属单位信息。</w:t>
      </w:r>
    </w:p>
    <w:p>
      <w:pPr>
        <w:pStyle w:val="2"/>
        <w:rPr>
          <w:rFonts w:hint="eastAsia"/>
          <w:lang w:val="en-US" w:eastAsia="zh-CN"/>
        </w:rPr>
      </w:pPr>
      <w:r>
        <w:rPr>
          <w:rFonts w:hint="eastAsia"/>
          <w:lang w:val="en-US" w:eastAsia="zh-CN"/>
        </w:rPr>
        <w:drawing>
          <wp:inline distT="0" distB="0" distL="114300" distR="114300">
            <wp:extent cx="2630805" cy="1343660"/>
            <wp:effectExtent l="0" t="0" r="17145" b="8890"/>
            <wp:docPr id="30" name="图片 30" descr="1611216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11216988(1)"/>
                    <pic:cNvPicPr>
                      <a:picLocks noChangeAspect="1"/>
                    </pic:cNvPicPr>
                  </pic:nvPicPr>
                  <pic:blipFill>
                    <a:blip r:embed="rId6"/>
                    <a:stretch>
                      <a:fillRect/>
                    </a:stretch>
                  </pic:blipFill>
                  <pic:spPr>
                    <a:xfrm>
                      <a:off x="0" y="0"/>
                      <a:ext cx="2630805" cy="1343660"/>
                    </a:xfrm>
                    <a:prstGeom prst="rect">
                      <a:avLst/>
                    </a:prstGeom>
                  </pic:spPr>
                </pic:pic>
              </a:graphicData>
            </a:graphic>
          </wp:inline>
        </w:drawing>
      </w:r>
      <w:r>
        <w:rPr>
          <w:rFonts w:hint="eastAsia"/>
          <w:lang w:val="en-US" w:eastAsia="zh-CN"/>
        </w:rPr>
        <w:drawing>
          <wp:inline distT="0" distB="0" distL="114300" distR="114300">
            <wp:extent cx="2554605" cy="1279525"/>
            <wp:effectExtent l="0" t="0" r="17145" b="15875"/>
            <wp:docPr id="29" name="图片 29" descr="1611216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11216571(1)"/>
                    <pic:cNvPicPr>
                      <a:picLocks noChangeAspect="1"/>
                    </pic:cNvPicPr>
                  </pic:nvPicPr>
                  <pic:blipFill>
                    <a:blip r:embed="rId7"/>
                    <a:stretch>
                      <a:fillRect/>
                    </a:stretch>
                  </pic:blipFill>
                  <pic:spPr>
                    <a:xfrm>
                      <a:off x="0" y="0"/>
                      <a:ext cx="2554605" cy="1279525"/>
                    </a:xfrm>
                    <a:prstGeom prst="rect">
                      <a:avLst/>
                    </a:prstGeom>
                  </pic:spPr>
                </pic:pic>
              </a:graphicData>
            </a:graphic>
          </wp:inline>
        </w:drawing>
      </w:r>
    </w:p>
    <w:p>
      <w:pPr>
        <w:jc w:val="center"/>
        <w:rPr>
          <w:rFonts w:hint="eastAsia"/>
          <w:lang w:val="en-US" w:eastAsia="zh-CN"/>
        </w:rPr>
      </w:pPr>
      <w:r>
        <w:rPr>
          <w:rFonts w:hint="eastAsia"/>
          <w:sz w:val="28"/>
          <w:szCs w:val="28"/>
          <w:lang w:val="en-US" w:eastAsia="zh-CN"/>
        </w:rPr>
        <w:t>图2 财务和人事信息公开截图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000000" w:themeColor="text1"/>
          <w:sz w:val="32"/>
          <w:szCs w:val="32"/>
          <w:lang w:val="en-US" w:eastAsia="zh-CN"/>
        </w:rPr>
      </w:pPr>
      <w:r>
        <w:rPr>
          <w:rFonts w:hint="eastAsia" w:ascii="仿宋_GB2312" w:hAnsi="仿宋" w:eastAsia="仿宋_GB2312" w:cs="仿宋"/>
          <w:color w:val="000000" w:themeColor="text1"/>
          <w:sz w:val="32"/>
          <w:szCs w:val="32"/>
          <w:lang w:val="en-US" w:eastAsia="zh-CN"/>
        </w:rPr>
        <w:t>二是积极开展政策预公开和解读回应。</w:t>
      </w:r>
      <w:r>
        <w:rPr>
          <w:rFonts w:hint="eastAsia" w:ascii="仿宋_GB2312" w:hAnsi="仿宋_GB2312" w:eastAsia="仿宋_GB2312" w:cs="仿宋_GB2312"/>
          <w:color w:val="000000" w:themeColor="text1"/>
          <w:sz w:val="32"/>
          <w:szCs w:val="32"/>
          <w:lang w:val="en-US" w:eastAsia="zh-CN"/>
        </w:rPr>
        <w:t>坚持开门编规划，在规划编制过程中，采取实地调研、召开座谈、公开征求意见等方式开展意见征集，力求从不同层面、视角，发现问题，找准原因，谋好举措。8月1日至9月底，分别在我局官网和微信公众号发布“我为赣州市“十四五”生态环境保护规划编制”建言献策活动公告，公开向社会征集规划编制意见建议。12月13日-12月19日在我局网站和市政府网站公开征集了《赣州市“三线一单”生态环境分区管控方案（征求意见稿）》意见建议。我局聚焦民生热点问题及生态环境保护重点工作，</w:t>
      </w:r>
      <w:r>
        <w:rPr>
          <w:rFonts w:hint="eastAsia" w:ascii="仿宋_GB2312" w:hAnsi="仿宋_GB2312" w:eastAsia="仿宋_GB2312" w:cs="仿宋_GB2312"/>
          <w:color w:val="000000" w:themeColor="text1"/>
          <w:sz w:val="32"/>
          <w:szCs w:val="32"/>
        </w:rPr>
        <w:t>采取</w:t>
      </w:r>
      <w:r>
        <w:rPr>
          <w:rFonts w:hint="eastAsia" w:ascii="仿宋_GB2312" w:hAnsi="仿宋_GB2312" w:eastAsia="仿宋_GB2312" w:cs="仿宋_GB2312"/>
          <w:color w:val="000000" w:themeColor="text1"/>
          <w:sz w:val="32"/>
          <w:szCs w:val="32"/>
          <w:lang w:val="en-US" w:eastAsia="zh-CN"/>
        </w:rPr>
        <w:t>新闻发布、</w:t>
      </w:r>
      <w:r>
        <w:rPr>
          <w:rFonts w:hint="eastAsia" w:ascii="仿宋_GB2312" w:hAnsi="仿宋_GB2312" w:eastAsia="仿宋_GB2312" w:cs="仿宋_GB2312"/>
          <w:color w:val="000000" w:themeColor="text1"/>
          <w:sz w:val="32"/>
          <w:szCs w:val="32"/>
        </w:rPr>
        <w:t>图</w:t>
      </w:r>
      <w:r>
        <w:rPr>
          <w:rFonts w:hint="eastAsia" w:ascii="仿宋_GB2312" w:hAnsi="仿宋_GB2312" w:eastAsia="仿宋_GB2312" w:cs="仿宋_GB2312"/>
          <w:color w:val="000000" w:themeColor="text1"/>
          <w:sz w:val="32"/>
          <w:szCs w:val="32"/>
          <w:lang w:val="en-US" w:eastAsia="zh-CN"/>
        </w:rPr>
        <w:t>说图解</w:t>
      </w:r>
      <w:r>
        <w:rPr>
          <w:rFonts w:hint="eastAsia" w:ascii="仿宋_GB2312" w:hAnsi="仿宋_GB2312" w:eastAsia="仿宋_GB2312" w:cs="仿宋_GB2312"/>
          <w:color w:val="000000" w:themeColor="text1"/>
          <w:sz w:val="32"/>
          <w:szCs w:val="32"/>
        </w:rPr>
        <w:t>、文字</w:t>
      </w:r>
      <w:r>
        <w:rPr>
          <w:rFonts w:hint="eastAsia" w:ascii="仿宋_GB2312" w:hAnsi="仿宋_GB2312" w:eastAsia="仿宋_GB2312" w:cs="仿宋_GB2312"/>
          <w:color w:val="000000" w:themeColor="text1"/>
          <w:sz w:val="32"/>
          <w:szCs w:val="32"/>
          <w:lang w:val="en-US" w:eastAsia="zh-CN"/>
        </w:rPr>
        <w:t>解读</w:t>
      </w:r>
      <w:r>
        <w:rPr>
          <w:rFonts w:hint="eastAsia" w:ascii="仿宋_GB2312" w:hAnsi="仿宋_GB2312" w:eastAsia="仿宋_GB2312" w:cs="仿宋_GB2312"/>
          <w:color w:val="000000" w:themeColor="text1"/>
          <w:sz w:val="32"/>
          <w:szCs w:val="32"/>
        </w:rPr>
        <w:t>等方式</w:t>
      </w:r>
      <w:r>
        <w:rPr>
          <w:rFonts w:hint="eastAsia" w:ascii="仿宋_GB2312" w:hAnsi="仿宋_GB2312" w:eastAsia="仿宋_GB2312" w:cs="仿宋_GB2312"/>
          <w:color w:val="000000" w:themeColor="text1"/>
          <w:sz w:val="32"/>
          <w:szCs w:val="32"/>
          <w:lang w:eastAsia="zh-CN"/>
        </w:rPr>
        <w:t>，</w:t>
      </w:r>
      <w:r>
        <w:rPr>
          <w:rFonts w:hint="eastAsia" w:ascii="仿宋_GB2312" w:hAnsi="仿宋" w:eastAsia="仿宋_GB2312" w:cs="仿宋"/>
          <w:color w:val="000000" w:themeColor="text1"/>
          <w:sz w:val="32"/>
          <w:szCs w:val="32"/>
        </w:rPr>
        <w:t>在</w:t>
      </w:r>
      <w:r>
        <w:rPr>
          <w:rFonts w:hint="eastAsia" w:ascii="仿宋_GB2312" w:hAnsi="仿宋" w:eastAsia="仿宋_GB2312" w:cs="仿宋"/>
          <w:color w:val="000000" w:themeColor="text1"/>
          <w:sz w:val="32"/>
          <w:szCs w:val="32"/>
          <w:lang w:val="en-US" w:eastAsia="zh-CN"/>
        </w:rPr>
        <w:t>电视媒体、政府网站和我局“两微”</w:t>
      </w:r>
      <w:r>
        <w:rPr>
          <w:rFonts w:hint="eastAsia" w:ascii="仿宋_GB2312" w:hAnsi="仿宋" w:eastAsia="仿宋_GB2312" w:cs="仿宋"/>
          <w:color w:val="000000" w:themeColor="text1"/>
          <w:sz w:val="32"/>
          <w:szCs w:val="32"/>
        </w:rPr>
        <w:t>平台</w:t>
      </w:r>
      <w:r>
        <w:rPr>
          <w:rFonts w:hint="eastAsia" w:ascii="仿宋_GB2312" w:hAnsi="仿宋_GB2312" w:eastAsia="仿宋_GB2312" w:cs="仿宋_GB2312"/>
          <w:color w:val="000000" w:themeColor="text1"/>
          <w:sz w:val="32"/>
          <w:szCs w:val="32"/>
        </w:rPr>
        <w:t>发布</w:t>
      </w:r>
      <w:r>
        <w:rPr>
          <w:rFonts w:hint="eastAsia" w:ascii="仿宋_GB2312" w:hAnsi="仿宋_GB2312" w:eastAsia="仿宋_GB2312" w:cs="仿宋_GB2312"/>
          <w:color w:val="000000" w:themeColor="text1"/>
          <w:sz w:val="32"/>
          <w:szCs w:val="32"/>
          <w:lang w:val="en-US" w:eastAsia="zh-CN"/>
        </w:rPr>
        <w:t>解读回应信息</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lang w:val="en-US" w:eastAsia="zh-CN"/>
        </w:rPr>
        <w:t>2020年度我局共召开了四场新闻发布会，通报了全市生态环境部门疫情防控及助力复工复产工作情况、我市蓝天保卫战工作推进、我市2020年环评审批服务经济发展和固定污染源排污许可全覆盖工作、我市污染防治攻坚战工作等情况；</w:t>
      </w:r>
      <w:r>
        <w:rPr>
          <w:rFonts w:hint="eastAsia" w:ascii="仿宋_GB2312" w:hAnsi="仿宋" w:eastAsia="仿宋_GB2312" w:cs="仿宋"/>
          <w:b w:val="0"/>
          <w:bCs w:val="0"/>
          <w:color w:val="auto"/>
          <w:kern w:val="2"/>
          <w:sz w:val="32"/>
          <w:szCs w:val="32"/>
          <w:lang w:val="en-US" w:eastAsia="zh-CN" w:bidi="ar-SA"/>
        </w:rPr>
        <w:t>发布了负责人解读《赣州市人民政府关于划定高排放非道路移动机械禁止使用区的通告》《实施监督执法正面清单工作方案》《赣州市中心城区声环境功能区划方案》政策信息3条；发布了图说图解信息3条，分别为：一图读懂|赣州市突出生态环境问题大排查行动、一图读懂|赣州市水气土三大战役这样打、一图读懂|赣州市推进收官年蓝天保卫战工作情况</w:t>
      </w:r>
      <w:r>
        <w:rPr>
          <w:rFonts w:hint="eastAsia" w:ascii="仿宋" w:hAnsi="仿宋" w:eastAsia="仿宋" w:cs="仿宋"/>
          <w:color w:val="000000" w:themeColor="text1"/>
          <w:sz w:val="32"/>
          <w:szCs w:val="32"/>
          <w:lang w:val="en-US" w:eastAsia="zh-CN"/>
        </w:rPr>
        <w:t>。</w:t>
      </w:r>
    </w:p>
    <w:p>
      <w:pPr>
        <w:pStyle w:val="2"/>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1887220" cy="1947545"/>
            <wp:effectExtent l="0" t="0" r="17780" b="1460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8"/>
                    <a:stretch>
                      <a:fillRect/>
                    </a:stretch>
                  </pic:blipFill>
                  <pic:spPr>
                    <a:xfrm>
                      <a:off x="0" y="0"/>
                      <a:ext cx="1887220" cy="1947545"/>
                    </a:xfrm>
                    <a:prstGeom prst="rect">
                      <a:avLst/>
                    </a:prstGeom>
                    <a:noFill/>
                    <a:ln w="9525">
                      <a:noFill/>
                    </a:ln>
                  </pic:spPr>
                </pic:pic>
              </a:graphicData>
            </a:graphic>
          </wp:inline>
        </w:drawing>
      </w:r>
      <w:r>
        <w:rPr>
          <w:rFonts w:hint="eastAsia"/>
          <w:lang w:val="en-US" w:eastAsia="zh-CN"/>
        </w:rPr>
        <w:drawing>
          <wp:inline distT="0" distB="0" distL="114300" distR="114300">
            <wp:extent cx="1672590" cy="1931670"/>
            <wp:effectExtent l="0" t="0" r="3810" b="11430"/>
            <wp:docPr id="16" name="图片 16" descr="一图读懂三大保卫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一图读懂三大保卫战"/>
                    <pic:cNvPicPr>
                      <a:picLocks noChangeAspect="1"/>
                    </pic:cNvPicPr>
                  </pic:nvPicPr>
                  <pic:blipFill>
                    <a:blip r:embed="rId9"/>
                    <a:stretch>
                      <a:fillRect/>
                    </a:stretch>
                  </pic:blipFill>
                  <pic:spPr>
                    <a:xfrm>
                      <a:off x="0" y="0"/>
                      <a:ext cx="1672590" cy="1931670"/>
                    </a:xfrm>
                    <a:prstGeom prst="rect">
                      <a:avLst/>
                    </a:prstGeom>
                  </pic:spPr>
                </pic:pic>
              </a:graphicData>
            </a:graphic>
          </wp:inline>
        </w:drawing>
      </w:r>
      <w:r>
        <w:rPr>
          <w:rFonts w:hint="eastAsia"/>
          <w:lang w:val="en-US" w:eastAsia="zh-CN"/>
        </w:rPr>
        <w:drawing>
          <wp:inline distT="0" distB="0" distL="114300" distR="114300">
            <wp:extent cx="1574165" cy="1936115"/>
            <wp:effectExtent l="0" t="0" r="6985" b="6985"/>
            <wp:docPr id="18" name="图片 18" descr="1611212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11212297(1)"/>
                    <pic:cNvPicPr>
                      <a:picLocks noChangeAspect="1"/>
                    </pic:cNvPicPr>
                  </pic:nvPicPr>
                  <pic:blipFill>
                    <a:blip r:embed="rId10"/>
                    <a:stretch>
                      <a:fillRect/>
                    </a:stretch>
                  </pic:blipFill>
                  <pic:spPr>
                    <a:xfrm>
                      <a:off x="0" y="0"/>
                      <a:ext cx="1574165" cy="1936115"/>
                    </a:xfrm>
                    <a:prstGeom prst="rect">
                      <a:avLst/>
                    </a:prstGeom>
                  </pic:spPr>
                </pic:pic>
              </a:graphicData>
            </a:graphic>
          </wp:inline>
        </w:drawing>
      </w:r>
    </w:p>
    <w:p>
      <w:pPr>
        <w:jc w:val="center"/>
        <w:rPr>
          <w:rFonts w:hint="eastAsia" w:ascii="仿宋_GB2312" w:hAnsi="仿宋" w:eastAsia="仿宋_GB2312" w:cs="仿宋"/>
          <w:color w:val="000000" w:themeColor="text1"/>
          <w:sz w:val="32"/>
          <w:szCs w:val="32"/>
          <w:lang w:val="en-US" w:eastAsia="zh-CN"/>
        </w:rPr>
      </w:pPr>
      <w:r>
        <w:rPr>
          <w:rFonts w:hint="eastAsia"/>
          <w:sz w:val="28"/>
          <w:szCs w:val="28"/>
          <w:lang w:val="en-US" w:eastAsia="zh-CN"/>
        </w:rPr>
        <w:t>图3 图说图解信息截图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
          <w:b w:val="0"/>
          <w:bCs w:val="0"/>
          <w:color w:val="000000" w:themeColor="text1"/>
          <w:kern w:val="2"/>
          <w:sz w:val="32"/>
          <w:szCs w:val="32"/>
          <w:lang w:val="en-US" w:eastAsia="zh-CN" w:bidi="ar-SA"/>
        </w:rPr>
      </w:pPr>
      <w:r>
        <w:rPr>
          <w:rFonts w:hint="eastAsia" w:ascii="仿宋_GB2312" w:hAnsi="仿宋" w:eastAsia="仿宋_GB2312" w:cs="仿宋"/>
          <w:color w:val="000000" w:themeColor="text1"/>
          <w:sz w:val="32"/>
          <w:szCs w:val="32"/>
          <w:lang w:val="en-US" w:eastAsia="zh-CN"/>
        </w:rPr>
        <w:t>三是</w:t>
      </w:r>
      <w:r>
        <w:rPr>
          <w:rFonts w:hint="eastAsia" w:ascii="仿宋_GB2312" w:hAnsi="仿宋" w:eastAsia="仿宋_GB2312" w:cs="仿宋"/>
          <w:color w:val="000000" w:themeColor="text1"/>
          <w:sz w:val="32"/>
          <w:szCs w:val="32"/>
        </w:rPr>
        <w:t>做好环境质量信息公开。</w:t>
      </w:r>
      <w:r>
        <w:rPr>
          <w:rFonts w:hint="eastAsia" w:ascii="仿宋_GB2312" w:hAnsi="仿宋" w:eastAsia="仿宋_GB2312" w:cs="仿宋"/>
          <w:b w:val="0"/>
          <w:bCs w:val="0"/>
          <w:color w:val="000000" w:themeColor="text1"/>
          <w:kern w:val="2"/>
          <w:sz w:val="32"/>
          <w:szCs w:val="32"/>
          <w:lang w:val="en-US" w:eastAsia="zh-CN" w:bidi="ar-SA"/>
        </w:rPr>
        <w:t>今年3月，为做好生态环境监测信息公开工作，我局出台了《赣州市生态环境局生态环境监测信息公开制度》</w:t>
      </w:r>
      <w:r>
        <w:rPr>
          <w:rFonts w:hint="eastAsia" w:ascii="仿宋_GB2312" w:hAnsi="仿宋" w:eastAsia="仿宋_GB2312" w:cs="仿宋"/>
          <w:b w:val="0"/>
          <w:bCs w:val="0"/>
          <w:color w:val="000000" w:themeColor="text1"/>
          <w:kern w:val="2"/>
          <w:sz w:val="32"/>
          <w:szCs w:val="32"/>
          <w:lang w:val="en" w:eastAsia="zh-CN" w:bidi="ar-SA"/>
        </w:rPr>
        <w:t>。</w:t>
      </w:r>
      <w:r>
        <w:rPr>
          <w:rFonts w:hint="eastAsia" w:ascii="仿宋_GB2312" w:hAnsi="仿宋" w:eastAsia="仿宋_GB2312" w:cs="仿宋"/>
          <w:b w:val="0"/>
          <w:bCs w:val="0"/>
          <w:color w:val="000000" w:themeColor="text1"/>
          <w:kern w:val="2"/>
          <w:sz w:val="32"/>
          <w:szCs w:val="32"/>
          <w:lang w:val="en-US" w:eastAsia="zh-CN" w:bidi="ar-SA"/>
        </w:rPr>
        <w:t>定期发布市中心城区环境空气质量月报、全市地表水环境监测月报、中心城区集中式饮用水</w:t>
      </w:r>
      <w:r>
        <w:rPr>
          <w:rFonts w:hint="eastAsia" w:ascii="仿宋_GB2312" w:hAnsi="仿宋" w:eastAsia="仿宋_GB2312" w:cs="仿宋"/>
          <w:b w:val="0"/>
          <w:bCs w:val="0"/>
          <w:color w:val="auto"/>
          <w:kern w:val="2"/>
          <w:sz w:val="32"/>
          <w:szCs w:val="32"/>
          <w:lang w:val="en-US" w:eastAsia="zh-CN" w:bidi="ar-SA"/>
        </w:rPr>
        <w:t>源水质状况月报。及时主动在赣州市生态环境局网站公开疫情期间县级集中式饮用水源地水质加密监测状况和生态环境监测信息。</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703955" cy="2037080"/>
            <wp:effectExtent l="0" t="0" r="10795"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1"/>
                    <a:stretch>
                      <a:fillRect/>
                    </a:stretch>
                  </pic:blipFill>
                  <pic:spPr>
                    <a:xfrm>
                      <a:off x="0" y="0"/>
                      <a:ext cx="3703955" cy="2037080"/>
                    </a:xfrm>
                    <a:prstGeom prst="rect">
                      <a:avLst/>
                    </a:prstGeom>
                    <a:noFill/>
                    <a:ln w="9525">
                      <a:noFill/>
                    </a:ln>
                  </pic:spPr>
                </pic:pic>
              </a:graphicData>
            </a:graphic>
          </wp:inline>
        </w:drawing>
      </w:r>
    </w:p>
    <w:p>
      <w:pPr>
        <w:jc w:val="center"/>
        <w:rPr>
          <w:rFonts w:hint="eastAsia"/>
          <w:sz w:val="28"/>
          <w:szCs w:val="28"/>
          <w:lang w:val="en-US" w:eastAsia="zh-CN"/>
        </w:rPr>
      </w:pPr>
      <w:r>
        <w:rPr>
          <w:rFonts w:hint="eastAsia"/>
          <w:sz w:val="28"/>
          <w:szCs w:val="28"/>
          <w:lang w:val="en-US" w:eastAsia="zh-CN"/>
        </w:rPr>
        <w:t>图4  环境质量信息公开截图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lang w:val="en-US" w:eastAsia="zh-CN"/>
        </w:rPr>
      </w:pPr>
      <w:r>
        <w:rPr>
          <w:rFonts w:hint="eastAsia" w:ascii="仿宋_GB2312" w:hAnsi="仿宋" w:eastAsia="仿宋_GB2312" w:cs="仿宋"/>
          <w:b w:val="0"/>
          <w:bCs w:val="0"/>
          <w:color w:val="000000" w:themeColor="text1"/>
          <w:kern w:val="2"/>
          <w:sz w:val="32"/>
          <w:szCs w:val="32"/>
          <w:lang w:val="en-US" w:eastAsia="zh-CN" w:bidi="ar-SA"/>
        </w:rPr>
        <w:t>四是围绕打好蓝天、碧水、净土保卫战，做好污染防治攻坚战信息公开。公开了</w:t>
      </w:r>
      <w:r>
        <w:rPr>
          <w:rFonts w:hint="eastAsia" w:ascii="仿宋_GB2312" w:eastAsia="仿宋_GB2312"/>
          <w:sz w:val="32"/>
          <w:szCs w:val="32"/>
          <w:lang w:val="en-US" w:eastAsia="zh-CN"/>
        </w:rPr>
        <w:t>2020年大气污染防治工作、全市VOCs污染防治和治理工作以及</w:t>
      </w:r>
      <w:r>
        <w:rPr>
          <w:rFonts w:hint="eastAsia" w:ascii="仿宋_GB2312" w:hAnsi="仿宋" w:eastAsia="仿宋_GB2312" w:cs="仿宋"/>
          <w:b w:val="0"/>
          <w:bCs w:val="0"/>
          <w:color w:val="000000" w:themeColor="text1"/>
          <w:kern w:val="2"/>
          <w:sz w:val="32"/>
          <w:szCs w:val="32"/>
          <w:lang w:val="en-US" w:eastAsia="zh-CN" w:bidi="ar-SA"/>
        </w:rPr>
        <w:t>蓝天保卫战工作情况等信息；公开了2020年赣州市农村生活污水治理工作基本情况、</w:t>
      </w:r>
      <w:r>
        <w:rPr>
          <w:rFonts w:hint="eastAsia" w:ascii="仿宋_GB2312" w:eastAsia="仿宋_GB2312"/>
          <w:sz w:val="32"/>
          <w:szCs w:val="32"/>
          <w:lang w:val="en-US" w:eastAsia="zh-CN"/>
        </w:rPr>
        <w:t>农村饮用水水源地保护工作相关情况及</w:t>
      </w:r>
      <w:r>
        <w:rPr>
          <w:rFonts w:hint="eastAsia" w:ascii="仿宋_GB2312" w:hAnsi="仿宋" w:eastAsia="仿宋_GB2312" w:cs="仿宋"/>
          <w:b w:val="0"/>
          <w:bCs w:val="0"/>
          <w:color w:val="000000" w:themeColor="text1"/>
          <w:kern w:val="2"/>
          <w:sz w:val="32"/>
          <w:szCs w:val="32"/>
          <w:lang w:val="en-US" w:eastAsia="zh-CN" w:bidi="ar-SA"/>
        </w:rPr>
        <w:t>2018-2020年赣州市赣江、东江流域生态环境专项整治工作情况</w:t>
      </w:r>
      <w:r>
        <w:rPr>
          <w:rFonts w:hint="eastAsia" w:ascii="仿宋_GB2312" w:eastAsia="仿宋_GB2312"/>
          <w:sz w:val="32"/>
          <w:szCs w:val="32"/>
          <w:lang w:val="en-US" w:eastAsia="zh-CN"/>
        </w:rPr>
        <w:t>等信息；发布</w:t>
      </w:r>
      <w:r>
        <w:rPr>
          <w:rFonts w:hint="eastAsia" w:ascii="仿宋_GB2312" w:hAnsi="仿宋" w:eastAsia="仿宋_GB2312" w:cs="仿宋"/>
          <w:color w:val="0C0C0C"/>
          <w:kern w:val="2"/>
          <w:sz w:val="32"/>
          <w:szCs w:val="32"/>
          <w:lang w:val="en-US" w:eastAsia="zh-CN" w:bidi="ar-SA"/>
        </w:rPr>
        <w:t>了2020年赣州市土壤污染重点监管单位名单、土壤环境初步调查报告、各县（市、区）土壤污染防治与修复成效综合评估结果及</w:t>
      </w:r>
      <w:r>
        <w:rPr>
          <w:rFonts w:hint="eastAsia" w:ascii="仿宋_GB2312" w:eastAsia="仿宋_GB2312"/>
          <w:sz w:val="32"/>
          <w:szCs w:val="32"/>
          <w:lang w:val="en-US" w:eastAsia="zh-CN"/>
        </w:rPr>
        <w:t>2019年度赣州市固体废物污染环境防治信息公告；</w:t>
      </w:r>
      <w:r>
        <w:rPr>
          <w:rFonts w:hint="eastAsia" w:ascii="仿宋_GB2312" w:hAnsi="仿宋" w:eastAsia="仿宋_GB2312" w:cs="仿宋"/>
          <w:b w:val="0"/>
          <w:bCs w:val="0"/>
          <w:color w:val="auto"/>
          <w:kern w:val="2"/>
          <w:sz w:val="32"/>
          <w:szCs w:val="32"/>
          <w:lang w:val="en-US" w:eastAsia="zh-CN" w:bidi="ar-SA"/>
        </w:rPr>
        <w:t>向社会公众发布《赣州市人民政府关于划定高排放非道路移动机械禁止使用区的通告》</w:t>
      </w:r>
      <w:r>
        <w:rPr>
          <w:rFonts w:hint="eastAsia" w:ascii="仿宋_GB2312" w:eastAsia="仿宋_GB2312"/>
          <w:sz w:val="32"/>
          <w:szCs w:val="32"/>
          <w:lang w:val="en-US" w:eastAsia="zh-CN"/>
        </w:rPr>
        <w:t>《关于对路面行驶柴油车开展路检路查和黑烟车电子抓拍执法的通告》。</w:t>
      </w:r>
    </w:p>
    <w:p>
      <w:pPr>
        <w:keepNext w:val="0"/>
        <w:keepLines w:val="0"/>
        <w:widowControl/>
        <w:suppressLineNumbers w:val="0"/>
        <w:jc w:val="center"/>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2287905" cy="1912620"/>
            <wp:effectExtent l="0" t="0" r="17145" b="1143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2"/>
                    <a:stretch>
                      <a:fillRect/>
                    </a:stretch>
                  </pic:blipFill>
                  <pic:spPr>
                    <a:xfrm>
                      <a:off x="0" y="0"/>
                      <a:ext cx="2287905" cy="191262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152015" cy="1837055"/>
            <wp:effectExtent l="0" t="0" r="635" b="1079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2152015" cy="1837055"/>
                    </a:xfrm>
                    <a:prstGeom prst="rect">
                      <a:avLst/>
                    </a:prstGeom>
                    <a:noFill/>
                    <a:ln w="9525">
                      <a:noFill/>
                    </a:ln>
                  </pic:spPr>
                </pic:pic>
              </a:graphicData>
            </a:graphic>
          </wp:inline>
        </w:drawing>
      </w:r>
    </w:p>
    <w:p>
      <w:pPr>
        <w:pStyle w:val="2"/>
        <w:numPr>
          <w:ilvl w:val="0"/>
          <w:numId w:val="0"/>
        </w:numPr>
        <w:jc w:val="center"/>
        <w:rPr>
          <w:rFonts w:hint="eastAsia"/>
          <w:lang w:val="en-US" w:eastAsia="zh-CN"/>
        </w:rPr>
      </w:pPr>
      <w:r>
        <w:rPr>
          <w:rFonts w:hint="eastAsia"/>
          <w:lang w:val="en-US" w:eastAsia="zh-CN"/>
        </w:rPr>
        <w:drawing>
          <wp:inline distT="0" distB="0" distL="114300" distR="114300">
            <wp:extent cx="2294890" cy="1887855"/>
            <wp:effectExtent l="0" t="0" r="10160" b="17145"/>
            <wp:docPr id="6" name="图片 6" descr="解读高排放非道路移动机械使用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解读高排放非道路移动机械使用区"/>
                    <pic:cNvPicPr>
                      <a:picLocks noChangeAspect="1"/>
                    </pic:cNvPicPr>
                  </pic:nvPicPr>
                  <pic:blipFill>
                    <a:blip r:embed="rId14"/>
                    <a:stretch>
                      <a:fillRect/>
                    </a:stretch>
                  </pic:blipFill>
                  <pic:spPr>
                    <a:xfrm>
                      <a:off x="0" y="0"/>
                      <a:ext cx="2294890" cy="1887855"/>
                    </a:xfrm>
                    <a:prstGeom prst="rect">
                      <a:avLst/>
                    </a:prstGeom>
                  </pic:spPr>
                </pic:pic>
              </a:graphicData>
            </a:graphic>
          </wp:inline>
        </w:drawing>
      </w:r>
      <w:r>
        <w:rPr>
          <w:rFonts w:hint="eastAsia"/>
          <w:lang w:val="en-US" w:eastAsia="zh-CN"/>
        </w:rPr>
        <w:drawing>
          <wp:inline distT="0" distB="0" distL="114300" distR="114300">
            <wp:extent cx="2128520" cy="1936750"/>
            <wp:effectExtent l="0" t="0" r="5080" b="6350"/>
            <wp:docPr id="7" name="图片 7" descr="农村生活污水治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农村生活污水治理"/>
                    <pic:cNvPicPr>
                      <a:picLocks noChangeAspect="1"/>
                    </pic:cNvPicPr>
                  </pic:nvPicPr>
                  <pic:blipFill>
                    <a:blip r:embed="rId15"/>
                    <a:stretch>
                      <a:fillRect/>
                    </a:stretch>
                  </pic:blipFill>
                  <pic:spPr>
                    <a:xfrm>
                      <a:off x="0" y="0"/>
                      <a:ext cx="2128520" cy="1936750"/>
                    </a:xfrm>
                    <a:prstGeom prst="rect">
                      <a:avLst/>
                    </a:prstGeom>
                  </pic:spPr>
                </pic:pic>
              </a:graphicData>
            </a:graphic>
          </wp:inline>
        </w:drawing>
      </w:r>
    </w:p>
    <w:p>
      <w:pPr>
        <w:keepNext w:val="0"/>
        <w:keepLines w:val="0"/>
        <w:widowControl/>
        <w:suppressLineNumbers w:val="0"/>
        <w:jc w:val="center"/>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2235200" cy="2087245"/>
            <wp:effectExtent l="0" t="0" r="12700" b="825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6"/>
                    <a:stretch>
                      <a:fillRect/>
                    </a:stretch>
                  </pic:blipFill>
                  <pic:spPr>
                    <a:xfrm>
                      <a:off x="0" y="0"/>
                      <a:ext cx="2235200" cy="2087245"/>
                    </a:xfrm>
                    <a:prstGeom prst="rect">
                      <a:avLst/>
                    </a:prstGeom>
                    <a:noFill/>
                    <a:ln w="9525">
                      <a:noFill/>
                    </a:ln>
                  </pic:spPr>
                </pic:pic>
              </a:graphicData>
            </a:graphic>
          </wp:inline>
        </w:drawing>
      </w:r>
      <w:r>
        <w:drawing>
          <wp:inline distT="0" distB="0" distL="114300" distR="114300">
            <wp:extent cx="2226310" cy="2017395"/>
            <wp:effectExtent l="0" t="0" r="2540" b="1905"/>
            <wp:docPr id="10" name="图片 10" descr="2020年固废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0年固废信息"/>
                    <pic:cNvPicPr>
                      <a:picLocks noChangeAspect="1"/>
                    </pic:cNvPicPr>
                  </pic:nvPicPr>
                  <pic:blipFill>
                    <a:blip r:embed="rId17"/>
                    <a:stretch>
                      <a:fillRect/>
                    </a:stretch>
                  </pic:blipFill>
                  <pic:spPr>
                    <a:xfrm>
                      <a:off x="0" y="0"/>
                      <a:ext cx="2226310" cy="2017395"/>
                    </a:xfrm>
                    <a:prstGeom prst="rect">
                      <a:avLst/>
                    </a:prstGeom>
                  </pic:spPr>
                </pic:pic>
              </a:graphicData>
            </a:graphic>
          </wp:inline>
        </w:drawing>
      </w:r>
    </w:p>
    <w:p>
      <w:pPr>
        <w:jc w:val="center"/>
        <w:rPr>
          <w:rFonts w:hint="eastAsia"/>
          <w:sz w:val="28"/>
          <w:szCs w:val="28"/>
          <w:lang w:val="en-US" w:eastAsia="zh-CN"/>
        </w:rPr>
      </w:pPr>
      <w:r>
        <w:rPr>
          <w:rFonts w:hint="eastAsia"/>
          <w:sz w:val="28"/>
          <w:szCs w:val="28"/>
          <w:lang w:val="en-US" w:eastAsia="zh-CN"/>
        </w:rPr>
        <w:t>图5  污染防治攻坚战信息公开截图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 w:eastAsia="仿宋_GB2312" w:cs="仿宋"/>
          <w:b w:val="0"/>
          <w:bCs w:val="0"/>
          <w:color w:val="auto"/>
          <w:kern w:val="2"/>
          <w:sz w:val="32"/>
          <w:szCs w:val="32"/>
          <w:lang w:val="en-US" w:eastAsia="zh-CN" w:bidi="ar-SA"/>
        </w:rPr>
      </w:pPr>
      <w:r>
        <w:rPr>
          <w:rFonts w:hint="eastAsia" w:ascii="仿宋_GB2312" w:hAnsi="仿宋" w:eastAsia="仿宋_GB2312" w:cs="仿宋"/>
          <w:b w:val="0"/>
          <w:bCs w:val="0"/>
          <w:color w:val="0C0C0C"/>
          <w:kern w:val="2"/>
          <w:sz w:val="32"/>
          <w:szCs w:val="32"/>
          <w:lang w:val="en-US" w:eastAsia="zh-CN" w:bidi="ar-SA"/>
        </w:rPr>
        <w:t>五是做好疫情防控及</w:t>
      </w:r>
      <w:r>
        <w:rPr>
          <w:rFonts w:hint="eastAsia" w:ascii="仿宋_GB2312" w:hAnsi="仿宋" w:eastAsia="仿宋_GB2312" w:cs="仿宋"/>
          <w:b w:val="0"/>
          <w:bCs w:val="0"/>
          <w:color w:val="000000" w:themeColor="text1"/>
          <w:kern w:val="2"/>
          <w:sz w:val="32"/>
          <w:szCs w:val="32"/>
          <w:lang w:val="en-US" w:eastAsia="zh-CN" w:bidi="ar-SA"/>
        </w:rPr>
        <w:t>“</w:t>
      </w:r>
      <w:r>
        <w:rPr>
          <w:rFonts w:hint="eastAsia" w:ascii="仿宋_GB2312" w:hAnsi="仿宋" w:eastAsia="仿宋_GB2312" w:cs="仿宋"/>
          <w:b w:val="0"/>
          <w:bCs w:val="0"/>
          <w:color w:val="0C0C0C"/>
          <w:kern w:val="2"/>
          <w:sz w:val="32"/>
          <w:szCs w:val="32"/>
          <w:lang w:val="en-US" w:eastAsia="zh-CN" w:bidi="ar-SA"/>
        </w:rPr>
        <w:t>六稳”“六保</w:t>
      </w:r>
      <w:r>
        <w:rPr>
          <w:rFonts w:hint="default" w:ascii="仿宋_GB2312" w:hAnsi="仿宋" w:eastAsia="仿宋_GB2312" w:cs="仿宋"/>
          <w:b w:val="0"/>
          <w:bCs w:val="0"/>
          <w:color w:val="0C0C0C"/>
          <w:kern w:val="2"/>
          <w:sz w:val="32"/>
          <w:szCs w:val="32"/>
          <w:lang w:val="en-US" w:eastAsia="zh-CN" w:bidi="ar-SA"/>
        </w:rPr>
        <w:t>”</w:t>
      </w:r>
      <w:r>
        <w:rPr>
          <w:rFonts w:hint="eastAsia" w:ascii="仿宋_GB2312" w:hAnsi="仿宋" w:eastAsia="仿宋_GB2312" w:cs="仿宋"/>
          <w:b w:val="0"/>
          <w:bCs w:val="0"/>
          <w:color w:val="0C0C0C"/>
          <w:kern w:val="2"/>
          <w:sz w:val="32"/>
          <w:szCs w:val="32"/>
          <w:lang w:val="en-US" w:eastAsia="zh-CN" w:bidi="ar-SA"/>
        </w:rPr>
        <w:t>信息公开。</w:t>
      </w:r>
      <w:r>
        <w:rPr>
          <w:rFonts w:hint="eastAsia" w:ascii="仿宋_GB2312" w:hAnsi="仿宋" w:eastAsia="仿宋_GB2312" w:cs="仿宋"/>
          <w:b w:val="0"/>
          <w:bCs w:val="0"/>
          <w:color w:val="000000" w:themeColor="text1"/>
          <w:kern w:val="2"/>
          <w:sz w:val="32"/>
          <w:szCs w:val="32"/>
          <w:lang w:val="en-US" w:eastAsia="zh-CN" w:bidi="ar-SA"/>
        </w:rPr>
        <w:t>新冠肺炎疫情爆发以来，全市生态环境统筹做好全市医疗废物、医疗污水处置和加强医疗废物、医疗污水处置监管工作，并及时公开相关信息。为</w:t>
      </w:r>
      <w:r>
        <w:rPr>
          <w:rFonts w:hint="eastAsia" w:ascii="仿宋_GB2312" w:hAnsi="仿宋" w:eastAsia="仿宋_GB2312" w:cs="仿宋"/>
          <w:b w:val="0"/>
          <w:bCs w:val="0"/>
          <w:color w:val="auto"/>
          <w:kern w:val="2"/>
          <w:sz w:val="32"/>
          <w:szCs w:val="32"/>
          <w:lang w:val="en-US" w:eastAsia="zh-CN" w:bidi="ar-SA"/>
        </w:rPr>
        <w:t>统筹做好疫情防控和经济社会发展</w:t>
      </w:r>
      <w:r>
        <w:rPr>
          <w:rFonts w:hint="eastAsia" w:ascii="仿宋_GB2312" w:hAnsi="仿宋" w:eastAsia="仿宋_GB2312" w:cs="仿宋"/>
          <w:b w:val="0"/>
          <w:bCs w:val="0"/>
          <w:color w:val="000000" w:themeColor="text1"/>
          <w:kern w:val="2"/>
          <w:sz w:val="32"/>
          <w:szCs w:val="32"/>
          <w:lang w:val="en-US" w:eastAsia="zh-CN" w:bidi="ar-SA"/>
        </w:rPr>
        <w:t>，我局出台《以生态环境高水平保护助推赣州高质量跨越式发展64条措施》，印发</w:t>
      </w:r>
      <w:r>
        <w:rPr>
          <w:rFonts w:hint="eastAsia" w:ascii="仿宋_GB2312" w:hAnsi="仿宋" w:eastAsia="仿宋_GB2312" w:cs="仿宋"/>
          <w:b w:val="0"/>
          <w:bCs w:val="0"/>
          <w:color w:val="auto"/>
          <w:kern w:val="2"/>
          <w:sz w:val="32"/>
          <w:szCs w:val="32"/>
          <w:lang w:val="en-US" w:eastAsia="zh-CN" w:bidi="ar-SA"/>
        </w:rPr>
        <w:t>《实施监督执法正面清单工作方案》并发布解读信息。通过新闻发布会的形式解读了我市在支持相关行业企业复工复产方面采取豁免部分项目环评手续办理、拓展环评告知承诺制审批改革试点等措施。</w:t>
      </w:r>
    </w:p>
    <w:p>
      <w:pPr>
        <w:pStyle w:val="2"/>
        <w:numPr>
          <w:ilvl w:val="0"/>
          <w:numId w:val="0"/>
        </w:numPr>
        <w:jc w:val="center"/>
        <w:rPr>
          <w:rFonts w:hint="eastAsia" w:ascii="Calibri" w:hAnsi="Calibri" w:eastAsia="宋体" w:cs="黑体"/>
          <w:b w:val="0"/>
          <w:bCs w:val="0"/>
          <w:kern w:val="2"/>
          <w:sz w:val="28"/>
          <w:szCs w:val="28"/>
          <w:lang w:val="en-US" w:eastAsia="zh-CN" w:bidi="ar-SA"/>
        </w:rPr>
      </w:pPr>
      <w:r>
        <w:rPr>
          <w:rFonts w:hint="eastAsia" w:ascii="Calibri" w:hAnsi="Calibri" w:eastAsia="宋体" w:cs="黑体"/>
          <w:b w:val="0"/>
          <w:bCs w:val="0"/>
          <w:kern w:val="2"/>
          <w:sz w:val="28"/>
          <w:szCs w:val="28"/>
          <w:lang w:val="en-US" w:eastAsia="zh-CN" w:bidi="ar-SA"/>
        </w:rPr>
        <w:drawing>
          <wp:inline distT="0" distB="0" distL="114300" distR="114300">
            <wp:extent cx="2494915" cy="2020570"/>
            <wp:effectExtent l="0" t="0" r="635" b="17780"/>
            <wp:docPr id="2" name="图片 2" descr="6P(0I7P9`]A}CTM4Q0NYD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P(0I7P9`]A}CTM4Q0NYDQQ"/>
                    <pic:cNvPicPr>
                      <a:picLocks noChangeAspect="1"/>
                    </pic:cNvPicPr>
                  </pic:nvPicPr>
                  <pic:blipFill>
                    <a:blip r:embed="rId18"/>
                    <a:srcRect t="3903"/>
                    <a:stretch>
                      <a:fillRect/>
                    </a:stretch>
                  </pic:blipFill>
                  <pic:spPr>
                    <a:xfrm>
                      <a:off x="0" y="0"/>
                      <a:ext cx="2494915" cy="2020570"/>
                    </a:xfrm>
                    <a:prstGeom prst="rect">
                      <a:avLst/>
                    </a:prstGeom>
                  </pic:spPr>
                </pic:pic>
              </a:graphicData>
            </a:graphic>
          </wp:inline>
        </w:drawing>
      </w:r>
      <w:r>
        <w:rPr>
          <w:rFonts w:hint="eastAsia" w:ascii="Calibri" w:hAnsi="Calibri" w:eastAsia="宋体" w:cs="黑体"/>
          <w:b w:val="0"/>
          <w:bCs w:val="0"/>
          <w:kern w:val="2"/>
          <w:sz w:val="28"/>
          <w:szCs w:val="28"/>
          <w:lang w:val="en-US" w:eastAsia="zh-CN" w:bidi="ar-SA"/>
        </w:rPr>
        <w:drawing>
          <wp:inline distT="0" distB="0" distL="114300" distR="114300">
            <wp:extent cx="2240915" cy="2012315"/>
            <wp:effectExtent l="0" t="0" r="6985" b="6985"/>
            <wp:docPr id="14" name="图片 14" descr="1611211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1211910(1)"/>
                    <pic:cNvPicPr>
                      <a:picLocks noChangeAspect="1"/>
                    </pic:cNvPicPr>
                  </pic:nvPicPr>
                  <pic:blipFill>
                    <a:blip r:embed="rId19"/>
                    <a:stretch>
                      <a:fillRect/>
                    </a:stretch>
                  </pic:blipFill>
                  <pic:spPr>
                    <a:xfrm>
                      <a:off x="0" y="0"/>
                      <a:ext cx="2240915" cy="2012315"/>
                    </a:xfrm>
                    <a:prstGeom prst="rect">
                      <a:avLst/>
                    </a:prstGeom>
                  </pic:spPr>
                </pic:pic>
              </a:graphicData>
            </a:graphic>
          </wp:inline>
        </w:drawing>
      </w:r>
    </w:p>
    <w:p>
      <w:pPr>
        <w:jc w:val="center"/>
        <w:rPr>
          <w:rFonts w:hint="eastAsia" w:ascii="Calibri" w:hAnsi="Calibri" w:eastAsia="宋体" w:cs="黑体"/>
          <w:b w:val="0"/>
          <w:bCs w:val="0"/>
          <w:kern w:val="2"/>
          <w:sz w:val="28"/>
          <w:szCs w:val="28"/>
          <w:lang w:val="en-US" w:eastAsia="zh-CN" w:bidi="ar-SA"/>
        </w:rPr>
      </w:pPr>
      <w:r>
        <w:rPr>
          <w:rFonts w:hint="eastAsia" w:ascii="Calibri" w:hAnsi="Calibri" w:eastAsia="宋体" w:cs="黑体"/>
          <w:b w:val="0"/>
          <w:bCs w:val="0"/>
          <w:kern w:val="2"/>
          <w:sz w:val="28"/>
          <w:szCs w:val="28"/>
          <w:lang w:val="en-US" w:eastAsia="zh-CN" w:bidi="ar-SA"/>
        </w:rPr>
        <w:t>图</w:t>
      </w:r>
      <w:r>
        <w:rPr>
          <w:rFonts w:hint="eastAsia" w:cs="黑体"/>
          <w:b w:val="0"/>
          <w:bCs w:val="0"/>
          <w:kern w:val="2"/>
          <w:sz w:val="28"/>
          <w:szCs w:val="28"/>
          <w:lang w:val="en-US" w:eastAsia="zh-CN" w:bidi="ar-SA"/>
        </w:rPr>
        <w:t>6</w:t>
      </w:r>
      <w:r>
        <w:rPr>
          <w:rFonts w:hint="eastAsia" w:ascii="Calibri" w:hAnsi="Calibri" w:eastAsia="宋体" w:cs="黑体"/>
          <w:b w:val="0"/>
          <w:bCs w:val="0"/>
          <w:kern w:val="2"/>
          <w:sz w:val="28"/>
          <w:szCs w:val="28"/>
          <w:lang w:val="en-US" w:eastAsia="zh-CN" w:bidi="ar-SA"/>
        </w:rPr>
        <w:t xml:space="preserve">  疫情防控及“六稳</w:t>
      </w:r>
      <w:r>
        <w:rPr>
          <w:rFonts w:hint="eastAsia" w:cs="黑体"/>
          <w:b w:val="0"/>
          <w:bCs w:val="0"/>
          <w:kern w:val="2"/>
          <w:sz w:val="28"/>
          <w:szCs w:val="28"/>
          <w:lang w:val="en-US" w:eastAsia="zh-CN" w:bidi="ar-SA"/>
        </w:rPr>
        <w:t>”“</w:t>
      </w:r>
      <w:r>
        <w:rPr>
          <w:rFonts w:hint="eastAsia" w:ascii="Calibri" w:hAnsi="Calibri" w:eastAsia="宋体" w:cs="黑体"/>
          <w:b w:val="0"/>
          <w:bCs w:val="0"/>
          <w:kern w:val="2"/>
          <w:sz w:val="28"/>
          <w:szCs w:val="28"/>
          <w:lang w:val="en-US" w:eastAsia="zh-CN" w:bidi="ar-SA"/>
        </w:rPr>
        <w:t>六保</w:t>
      </w:r>
      <w:r>
        <w:rPr>
          <w:rFonts w:hint="eastAsia" w:cs="黑体"/>
          <w:b w:val="0"/>
          <w:bCs w:val="0"/>
          <w:kern w:val="2"/>
          <w:sz w:val="28"/>
          <w:szCs w:val="28"/>
          <w:lang w:val="en-US" w:eastAsia="zh-CN" w:bidi="ar-SA"/>
        </w:rPr>
        <w:t>”</w:t>
      </w:r>
      <w:r>
        <w:rPr>
          <w:rFonts w:hint="eastAsia" w:ascii="Calibri" w:hAnsi="Calibri" w:eastAsia="宋体" w:cs="黑体"/>
          <w:b w:val="0"/>
          <w:bCs w:val="0"/>
          <w:kern w:val="2"/>
          <w:sz w:val="28"/>
          <w:szCs w:val="28"/>
          <w:lang w:val="en-US" w:eastAsia="zh-CN" w:bidi="ar-SA"/>
        </w:rPr>
        <w:t>信息公开截图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 w:eastAsia="仿宋_GB2312" w:cs="仿宋"/>
          <w:b w:val="0"/>
          <w:bCs w:val="0"/>
          <w:color w:val="000000" w:themeColor="text1"/>
          <w:kern w:val="2"/>
          <w:sz w:val="32"/>
          <w:szCs w:val="32"/>
          <w:lang w:val="en-US" w:eastAsia="zh-CN" w:bidi="ar-SA"/>
        </w:rPr>
      </w:pPr>
      <w:r>
        <w:rPr>
          <w:rFonts w:hint="eastAsia" w:ascii="仿宋_GB2312" w:hAnsi="仿宋" w:eastAsia="仿宋_GB2312" w:cs="仿宋"/>
          <w:b w:val="0"/>
          <w:bCs w:val="0"/>
          <w:color w:val="000000" w:themeColor="text1"/>
          <w:kern w:val="2"/>
          <w:sz w:val="32"/>
          <w:szCs w:val="32"/>
          <w:lang w:val="en-US" w:eastAsia="zh-CN" w:bidi="ar-SA"/>
        </w:rPr>
        <w:t>六是推进“双随机一公开”工作，做好监管执法信息公开。对172家重点排污单位实行执法监测全覆盖，对日常环境监管随机抽查企业的执法检查结果、行政处罚决定进行公开。在网上公示对环保“红（黄）牌”警示企业名单和环保“红（黄）牌”警示解除通知书及时公示。</w:t>
      </w:r>
    </w:p>
    <w:p>
      <w:pPr>
        <w:pStyle w:val="2"/>
        <w:numPr>
          <w:ilvl w:val="0"/>
          <w:numId w:val="0"/>
        </w:numPr>
        <w:jc w:val="center"/>
        <w:rPr>
          <w:rFonts w:hint="eastAsia"/>
          <w:lang w:val="en-US" w:eastAsia="zh-CN"/>
        </w:rPr>
      </w:pPr>
      <w:r>
        <w:rPr>
          <w:rFonts w:hint="eastAsia"/>
          <w:lang w:val="en-US" w:eastAsia="zh-CN"/>
        </w:rPr>
        <w:drawing>
          <wp:inline distT="0" distB="0" distL="114300" distR="114300">
            <wp:extent cx="2687955" cy="2021840"/>
            <wp:effectExtent l="0" t="0" r="17145" b="16510"/>
            <wp:docPr id="12" name="图片 12" descr="1611211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1211606(1)"/>
                    <pic:cNvPicPr>
                      <a:picLocks noChangeAspect="1"/>
                    </pic:cNvPicPr>
                  </pic:nvPicPr>
                  <pic:blipFill>
                    <a:blip r:embed="rId20"/>
                    <a:stretch>
                      <a:fillRect/>
                    </a:stretch>
                  </pic:blipFill>
                  <pic:spPr>
                    <a:xfrm>
                      <a:off x="0" y="0"/>
                      <a:ext cx="2687955" cy="2021840"/>
                    </a:xfrm>
                    <a:prstGeom prst="rect">
                      <a:avLst/>
                    </a:prstGeom>
                  </pic:spPr>
                </pic:pic>
              </a:graphicData>
            </a:graphic>
          </wp:inline>
        </w:drawing>
      </w:r>
      <w:r>
        <w:rPr>
          <w:rFonts w:hint="eastAsia"/>
          <w:lang w:val="en-US" w:eastAsia="zh-CN"/>
        </w:rPr>
        <w:drawing>
          <wp:inline distT="0" distB="0" distL="114300" distR="114300">
            <wp:extent cx="2449195" cy="1983740"/>
            <wp:effectExtent l="0" t="0" r="8255" b="16510"/>
            <wp:docPr id="13" name="图片 13" descr="1611211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1211672(1)"/>
                    <pic:cNvPicPr>
                      <a:picLocks noChangeAspect="1"/>
                    </pic:cNvPicPr>
                  </pic:nvPicPr>
                  <pic:blipFill>
                    <a:blip r:embed="rId21"/>
                    <a:stretch>
                      <a:fillRect/>
                    </a:stretch>
                  </pic:blipFill>
                  <pic:spPr>
                    <a:xfrm>
                      <a:off x="0" y="0"/>
                      <a:ext cx="2449195" cy="1983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sz w:val="28"/>
          <w:szCs w:val="28"/>
          <w:lang w:val="en-US" w:eastAsia="zh-CN"/>
        </w:rPr>
        <w:t>图7  监管执法信息公开截图</w:t>
      </w:r>
    </w:p>
    <w:p>
      <w:pPr>
        <w:rPr>
          <w:rFonts w:hint="eastAsia"/>
          <w:lang w:val="en-US" w:eastAsia="zh-CN"/>
        </w:rPr>
      </w:pPr>
    </w:p>
    <w:p>
      <w:pPr>
        <w:widowControl/>
        <w:adjustRightInd w:val="0"/>
        <w:snapToGrid w:val="0"/>
        <w:spacing w:line="560" w:lineRule="exact"/>
        <w:ind w:firstLine="640" w:firstLineChars="200"/>
        <w:rPr>
          <w:rFonts w:hint="eastAsia" w:ascii="仿宋_GB2312" w:hAnsi="仿宋" w:eastAsia="仿宋_GB2312" w:cs="仿宋"/>
          <w:color w:val="000000" w:themeColor="text1"/>
          <w:sz w:val="32"/>
          <w:szCs w:val="32"/>
          <w:lang w:eastAsia="zh-CN"/>
        </w:rPr>
      </w:pPr>
      <w:r>
        <w:rPr>
          <w:rFonts w:hint="eastAsia" w:ascii="仿宋_GB2312" w:hAnsi="仿宋" w:eastAsia="仿宋_GB2312" w:cs="仿宋"/>
          <w:color w:val="000000" w:themeColor="text1"/>
          <w:sz w:val="32"/>
          <w:szCs w:val="32"/>
          <w:lang w:val="en-US" w:eastAsia="zh-CN"/>
        </w:rPr>
        <w:t>七是</w:t>
      </w:r>
      <w:r>
        <w:rPr>
          <w:rFonts w:hint="eastAsia" w:ascii="仿宋_GB2312" w:hAnsi="仿宋" w:eastAsia="仿宋_GB2312" w:cs="仿宋"/>
          <w:color w:val="000000" w:themeColor="text1"/>
          <w:sz w:val="32"/>
          <w:szCs w:val="32"/>
        </w:rPr>
        <w:t>积极做好行政审批服务信息公开。全面梳理了我局行政审批服务、行政权力清单，行政许可、行政处罚、行政强制、行政确认、行政监督检查等事项，对行政权力运行结果进行及时公开。公开了</w:t>
      </w:r>
      <w:r>
        <w:rPr>
          <w:rFonts w:hint="eastAsia" w:ascii="仿宋_GB2312" w:hAnsi="仿宋" w:eastAsia="仿宋_GB2312" w:cs="仿宋"/>
          <w:color w:val="000000" w:themeColor="text1"/>
          <w:sz w:val="32"/>
          <w:szCs w:val="32"/>
          <w:lang w:val="en-US" w:eastAsia="zh-CN"/>
        </w:rPr>
        <w:t>排污许可证核发、</w:t>
      </w:r>
      <w:r>
        <w:rPr>
          <w:rFonts w:hint="eastAsia" w:ascii="仿宋_GB2312" w:hAnsi="仿宋" w:eastAsia="仿宋_GB2312" w:cs="仿宋"/>
          <w:color w:val="000000" w:themeColor="text1"/>
          <w:sz w:val="32"/>
          <w:szCs w:val="32"/>
        </w:rPr>
        <w:t>建设项目（辐射类）</w:t>
      </w:r>
      <w:r>
        <w:rPr>
          <w:rFonts w:hint="eastAsia" w:ascii="仿宋_GB2312" w:hAnsi="仿宋" w:eastAsia="仿宋_GB2312" w:cs="仿宋"/>
          <w:color w:val="000000" w:themeColor="text1"/>
          <w:sz w:val="32"/>
          <w:szCs w:val="32"/>
          <w:lang w:val="en-US" w:eastAsia="zh-CN"/>
        </w:rPr>
        <w:t>环境影响评价、辐射安全许可证颁发</w:t>
      </w:r>
      <w:r>
        <w:rPr>
          <w:rFonts w:hint="eastAsia" w:ascii="仿宋_GB2312" w:hAnsi="仿宋" w:eastAsia="仿宋_GB2312" w:cs="仿宋"/>
          <w:color w:val="000000" w:themeColor="text1"/>
          <w:sz w:val="32"/>
          <w:szCs w:val="32"/>
          <w:lang w:eastAsia="zh-CN"/>
        </w:rPr>
        <w:t>、</w:t>
      </w:r>
      <w:r>
        <w:rPr>
          <w:rFonts w:hint="eastAsia" w:ascii="仿宋_GB2312" w:hAnsi="仿宋" w:eastAsia="仿宋_GB2312" w:cs="仿宋"/>
          <w:color w:val="000000" w:themeColor="text1"/>
          <w:sz w:val="32"/>
          <w:szCs w:val="32"/>
        </w:rPr>
        <w:t>危险废物经营许可</w:t>
      </w:r>
      <w:r>
        <w:rPr>
          <w:rFonts w:hint="eastAsia" w:ascii="仿宋_GB2312" w:hAnsi="仿宋" w:eastAsia="仿宋_GB2312" w:cs="仿宋"/>
          <w:color w:val="000000" w:themeColor="text1"/>
          <w:sz w:val="32"/>
          <w:szCs w:val="32"/>
          <w:lang w:val="en-US" w:eastAsia="zh-CN"/>
        </w:rPr>
        <w:t>证、清洁生产审核</w:t>
      </w:r>
      <w:r>
        <w:rPr>
          <w:rFonts w:hint="eastAsia" w:ascii="仿宋_GB2312" w:hAnsi="仿宋" w:eastAsia="仿宋_GB2312" w:cs="仿宋"/>
          <w:color w:val="000000" w:themeColor="text1"/>
          <w:sz w:val="32"/>
          <w:szCs w:val="32"/>
        </w:rPr>
        <w:t>等信息</w:t>
      </w:r>
      <w:r>
        <w:rPr>
          <w:rFonts w:hint="eastAsia" w:ascii="仿宋_GB2312" w:hAnsi="仿宋" w:eastAsia="仿宋_GB2312" w:cs="仿宋"/>
          <w:color w:val="000000" w:themeColor="text1"/>
          <w:sz w:val="32"/>
          <w:szCs w:val="32"/>
          <w:lang w:eastAsia="zh-CN"/>
        </w:rPr>
        <w:t>。</w:t>
      </w:r>
    </w:p>
    <w:p>
      <w:pPr>
        <w:pStyle w:val="2"/>
        <w:jc w:val="center"/>
      </w:pPr>
      <w:r>
        <w:drawing>
          <wp:inline distT="0" distB="0" distL="114300" distR="114300">
            <wp:extent cx="3186430" cy="1867535"/>
            <wp:effectExtent l="0" t="0" r="13970" b="18415"/>
            <wp:docPr id="11" name="图片 11" descr="161121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1211568(1)"/>
                    <pic:cNvPicPr>
                      <a:picLocks noChangeAspect="1"/>
                    </pic:cNvPicPr>
                  </pic:nvPicPr>
                  <pic:blipFill>
                    <a:blip r:embed="rId22"/>
                    <a:stretch>
                      <a:fillRect/>
                    </a:stretch>
                  </pic:blipFill>
                  <pic:spPr>
                    <a:xfrm>
                      <a:off x="0" y="0"/>
                      <a:ext cx="3186430" cy="1867535"/>
                    </a:xfrm>
                    <a:prstGeom prst="rect">
                      <a:avLst/>
                    </a:prstGeom>
                  </pic:spPr>
                </pic:pic>
              </a:graphicData>
            </a:graphic>
          </wp:inline>
        </w:drawing>
      </w:r>
    </w:p>
    <w:p>
      <w:pPr>
        <w:jc w:val="center"/>
      </w:pPr>
      <w:r>
        <w:rPr>
          <w:rFonts w:hint="eastAsia"/>
          <w:sz w:val="28"/>
          <w:szCs w:val="28"/>
          <w:lang w:val="en-US" w:eastAsia="zh-CN"/>
        </w:rPr>
        <w:t>图8  行政审批服务信息公开截图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rPr>
      </w:pPr>
      <w:r>
        <w:rPr>
          <w:rFonts w:hint="eastAsia" w:ascii="仿宋_GB2312" w:hAnsi="仿宋" w:eastAsia="仿宋_GB2312" w:cs="仿宋"/>
          <w:color w:val="000000" w:themeColor="text1"/>
          <w:sz w:val="32"/>
          <w:szCs w:val="32"/>
          <w:lang w:val="en-US" w:eastAsia="zh-CN"/>
        </w:rPr>
        <w:t>八是</w:t>
      </w:r>
      <w:r>
        <w:rPr>
          <w:rFonts w:hint="eastAsia" w:ascii="仿宋_GB2312" w:hAnsi="仿宋" w:eastAsia="仿宋_GB2312" w:cs="仿宋"/>
          <w:color w:val="000000" w:themeColor="text1"/>
          <w:sz w:val="32"/>
          <w:szCs w:val="32"/>
        </w:rPr>
        <w:t>公开环境突发事件、突发环境应急预案以及事件处理情况。印发《2020年赣州市环境应急管理工作要点》的通知</w:t>
      </w:r>
      <w:r>
        <w:rPr>
          <w:rFonts w:hint="eastAsia" w:ascii="仿宋_GB2312" w:hAnsi="仿宋_GB2312" w:eastAsia="仿宋_GB2312" w:cs="仿宋_GB2312"/>
          <w:color w:val="000000" w:themeColor="text1"/>
          <w:sz w:val="32"/>
          <w:szCs w:val="32"/>
        </w:rPr>
        <w:t>并在市政府网站公开，公开了我市开展环境应急演练等工作动态信息。20</w:t>
      </w:r>
      <w:r>
        <w:rPr>
          <w:rFonts w:hint="eastAsia" w:ascii="仿宋_GB2312" w:hAnsi="仿宋_GB2312" w:eastAsia="仿宋_GB2312" w:cs="仿宋_GB2312"/>
          <w:color w:val="000000" w:themeColor="text1"/>
          <w:sz w:val="32"/>
          <w:szCs w:val="32"/>
          <w:lang w:val="en-US" w:eastAsia="zh-CN"/>
        </w:rPr>
        <w:t>20</w:t>
      </w:r>
      <w:r>
        <w:rPr>
          <w:rFonts w:hint="eastAsia" w:ascii="仿宋_GB2312" w:hAnsi="仿宋_GB2312" w:eastAsia="仿宋_GB2312" w:cs="仿宋_GB2312"/>
          <w:color w:val="000000" w:themeColor="text1"/>
          <w:sz w:val="32"/>
          <w:szCs w:val="32"/>
        </w:rPr>
        <w:t>年</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我市未发生重大</w:t>
      </w:r>
      <w:r>
        <w:rPr>
          <w:rFonts w:hint="eastAsia" w:ascii="仿宋_GB2312" w:hAnsi="仿宋_GB2312" w:eastAsia="仿宋_GB2312" w:cs="仿宋_GB2312"/>
          <w:color w:val="000000" w:themeColor="text1"/>
          <w:sz w:val="32"/>
          <w:szCs w:val="32"/>
          <w:lang w:val="en-US" w:eastAsia="zh-CN"/>
        </w:rPr>
        <w:t>及以上级别</w:t>
      </w:r>
      <w:r>
        <w:rPr>
          <w:rFonts w:hint="eastAsia" w:ascii="仿宋_GB2312" w:hAnsi="仿宋_GB2312" w:eastAsia="仿宋_GB2312" w:cs="仿宋_GB2312"/>
          <w:color w:val="000000" w:themeColor="text1"/>
          <w:sz w:val="32"/>
          <w:szCs w:val="32"/>
        </w:rPr>
        <w:t>突发环境事件。</w:t>
      </w:r>
    </w:p>
    <w:p>
      <w:pPr>
        <w:pStyle w:val="2"/>
        <w:numPr>
          <w:ilvl w:val="0"/>
          <w:numId w:val="0"/>
        </w:numPr>
        <w:jc w:val="center"/>
        <w:rPr>
          <w:rFonts w:hint="eastAsia" w:eastAsia="宋体"/>
          <w:lang w:eastAsia="zh-CN"/>
        </w:rPr>
      </w:pPr>
      <w:r>
        <w:rPr>
          <w:rFonts w:hint="eastAsia" w:eastAsia="宋体"/>
          <w:lang w:eastAsia="zh-CN"/>
        </w:rPr>
        <w:drawing>
          <wp:inline distT="0" distB="0" distL="114300" distR="114300">
            <wp:extent cx="3893185" cy="2004695"/>
            <wp:effectExtent l="0" t="0" r="12065" b="14605"/>
            <wp:docPr id="19" name="图片 19" descr="161121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11212472(1)"/>
                    <pic:cNvPicPr>
                      <a:picLocks noChangeAspect="1"/>
                    </pic:cNvPicPr>
                  </pic:nvPicPr>
                  <pic:blipFill>
                    <a:blip r:embed="rId23"/>
                    <a:srcRect t="4171" b="24068"/>
                    <a:stretch>
                      <a:fillRect/>
                    </a:stretch>
                  </pic:blipFill>
                  <pic:spPr>
                    <a:xfrm>
                      <a:off x="0" y="0"/>
                      <a:ext cx="3893185" cy="2004695"/>
                    </a:xfrm>
                    <a:prstGeom prst="rect">
                      <a:avLst/>
                    </a:prstGeom>
                  </pic:spPr>
                </pic:pic>
              </a:graphicData>
            </a:graphic>
          </wp:inline>
        </w:drawing>
      </w:r>
    </w:p>
    <w:p>
      <w:pPr>
        <w:jc w:val="center"/>
        <w:rPr>
          <w:rFonts w:hint="eastAsia"/>
          <w:lang w:eastAsia="zh-CN"/>
        </w:rPr>
      </w:pPr>
      <w:r>
        <w:rPr>
          <w:rFonts w:hint="eastAsia"/>
          <w:sz w:val="28"/>
          <w:szCs w:val="28"/>
          <w:lang w:val="en-US" w:eastAsia="zh-CN"/>
        </w:rPr>
        <w:t>图9 设立专栏公开环境应急信息</w:t>
      </w:r>
    </w:p>
    <w:p>
      <w:pPr>
        <w:widowControl/>
        <w:adjustRightInd w:val="0"/>
        <w:snapToGrid w:val="0"/>
        <w:spacing w:line="560" w:lineRule="exact"/>
        <w:ind w:firstLine="640" w:firstLineChars="200"/>
        <w:rPr>
          <w:rFonts w:hint="eastAsia" w:ascii="仿宋_GB2312" w:hAnsi="仿宋" w:eastAsia="仿宋_GB2312" w:cs="仿宋"/>
          <w:color w:val="000000" w:themeColor="text1"/>
          <w:sz w:val="32"/>
          <w:szCs w:val="32"/>
          <w:lang w:val="en-US" w:eastAsia="zh-CN"/>
        </w:rPr>
      </w:pPr>
      <w:r>
        <w:rPr>
          <w:rFonts w:hint="eastAsia" w:ascii="仿宋_GB2312" w:hAnsi="仿宋" w:eastAsia="仿宋_GB2312" w:cs="仿宋"/>
          <w:color w:val="000000" w:themeColor="text1"/>
          <w:sz w:val="32"/>
          <w:szCs w:val="32"/>
          <w:lang w:val="en-US" w:eastAsia="zh-CN"/>
        </w:rPr>
        <w:t>九是做好省生态环境保护督察“回头看”信息公开</w:t>
      </w:r>
      <w:r>
        <w:rPr>
          <w:rFonts w:hint="eastAsia" w:ascii="仿宋_GB2312" w:hAnsi="仿宋" w:eastAsia="仿宋_GB2312" w:cs="仿宋"/>
          <w:color w:val="000000" w:themeColor="text1"/>
          <w:sz w:val="32"/>
          <w:szCs w:val="32"/>
        </w:rPr>
        <w:t>。江西省第三生态环境保护督察组对赣州开展“回头看”</w:t>
      </w:r>
      <w:r>
        <w:rPr>
          <w:rFonts w:hint="eastAsia" w:ascii="仿宋_GB2312" w:hAnsi="仿宋" w:eastAsia="仿宋_GB2312" w:cs="仿宋"/>
          <w:color w:val="000000" w:themeColor="text1"/>
          <w:sz w:val="32"/>
          <w:szCs w:val="32"/>
          <w:lang w:eastAsia="zh-CN"/>
        </w:rPr>
        <w:t>，</w:t>
      </w:r>
      <w:r>
        <w:rPr>
          <w:rFonts w:hint="eastAsia" w:ascii="仿宋_GB2312" w:hAnsi="仿宋" w:eastAsia="仿宋_GB2312" w:cs="仿宋"/>
          <w:color w:val="000000" w:themeColor="text1"/>
          <w:sz w:val="32"/>
          <w:szCs w:val="32"/>
          <w:lang w:val="en-US" w:eastAsia="zh-CN"/>
        </w:rPr>
        <w:t>在网站和两微公开了进驻时间、来信来电举报方式，</w:t>
      </w:r>
      <w:r>
        <w:rPr>
          <w:rFonts w:hint="eastAsia" w:ascii="仿宋_GB2312" w:hAnsi="仿宋" w:eastAsia="仿宋_GB2312" w:cs="仿宋"/>
          <w:color w:val="000000" w:themeColor="text1"/>
          <w:sz w:val="32"/>
          <w:szCs w:val="32"/>
        </w:rPr>
        <w:t>对环境保护督察交办信访件（共计</w:t>
      </w:r>
      <w:r>
        <w:rPr>
          <w:rFonts w:hint="eastAsia" w:ascii="仿宋_GB2312" w:hAnsi="仿宋" w:eastAsia="仿宋_GB2312" w:cs="仿宋"/>
          <w:color w:val="000000" w:themeColor="text1"/>
          <w:sz w:val="32"/>
          <w:szCs w:val="32"/>
          <w:lang w:val="en-US" w:eastAsia="zh-CN"/>
        </w:rPr>
        <w:t>330</w:t>
      </w:r>
      <w:r>
        <w:rPr>
          <w:rFonts w:hint="eastAsia" w:ascii="仿宋_GB2312" w:hAnsi="仿宋" w:eastAsia="仿宋_GB2312" w:cs="仿宋"/>
          <w:color w:val="000000" w:themeColor="text1"/>
          <w:sz w:val="32"/>
          <w:szCs w:val="32"/>
        </w:rPr>
        <w:t>件）</w:t>
      </w:r>
      <w:r>
        <w:rPr>
          <w:rFonts w:hint="eastAsia" w:ascii="仿宋_GB2312" w:hAnsi="仿宋" w:eastAsia="仿宋_GB2312" w:cs="仿宋"/>
          <w:color w:val="000000" w:themeColor="text1"/>
          <w:sz w:val="32"/>
          <w:szCs w:val="32"/>
          <w:lang w:val="en-US" w:eastAsia="zh-CN"/>
        </w:rPr>
        <w:t>查处</w:t>
      </w:r>
      <w:r>
        <w:rPr>
          <w:rFonts w:hint="eastAsia" w:ascii="仿宋_GB2312" w:hAnsi="仿宋" w:eastAsia="仿宋_GB2312" w:cs="仿宋"/>
          <w:color w:val="000000" w:themeColor="text1"/>
          <w:sz w:val="32"/>
          <w:szCs w:val="32"/>
        </w:rPr>
        <w:t>情况进行了公示</w:t>
      </w:r>
      <w:r>
        <w:rPr>
          <w:rFonts w:hint="eastAsia" w:ascii="仿宋_GB2312" w:hAnsi="仿宋" w:eastAsia="仿宋_GB2312" w:cs="仿宋"/>
          <w:color w:val="000000" w:themeColor="text1"/>
          <w:sz w:val="32"/>
          <w:szCs w:val="32"/>
          <w:lang w:val="en-US" w:eastAsia="zh-CN"/>
        </w:rPr>
        <w:t>。</w:t>
      </w:r>
    </w:p>
    <w:p>
      <w:pPr>
        <w:pStyle w:val="2"/>
        <w:jc w:val="center"/>
        <w:rPr>
          <w:rFonts w:hint="eastAsia"/>
          <w:lang w:val="en-US" w:eastAsia="zh-CN"/>
        </w:rPr>
      </w:pPr>
      <w:r>
        <w:rPr>
          <w:rFonts w:hint="eastAsia"/>
          <w:lang w:val="en-US" w:eastAsia="zh-CN"/>
        </w:rPr>
        <w:drawing>
          <wp:inline distT="0" distB="0" distL="114300" distR="114300">
            <wp:extent cx="2955925" cy="2449830"/>
            <wp:effectExtent l="0" t="0" r="15875" b="7620"/>
            <wp:docPr id="15" name="图片 15" descr="1611212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1212093(1)"/>
                    <pic:cNvPicPr>
                      <a:picLocks noChangeAspect="1"/>
                    </pic:cNvPicPr>
                  </pic:nvPicPr>
                  <pic:blipFill>
                    <a:blip r:embed="rId24"/>
                    <a:stretch>
                      <a:fillRect/>
                    </a:stretch>
                  </pic:blipFill>
                  <pic:spPr>
                    <a:xfrm>
                      <a:off x="0" y="0"/>
                      <a:ext cx="2955925" cy="2449830"/>
                    </a:xfrm>
                    <a:prstGeom prst="rect">
                      <a:avLst/>
                    </a:prstGeom>
                  </pic:spPr>
                </pic:pic>
              </a:graphicData>
            </a:graphic>
          </wp:inline>
        </w:drawing>
      </w:r>
    </w:p>
    <w:p>
      <w:pPr>
        <w:jc w:val="center"/>
        <w:rPr>
          <w:rFonts w:hint="eastAsia" w:ascii="仿宋_GB2312" w:hAnsi="仿宋_GB2312" w:eastAsia="仿宋_GB2312" w:cs="仿宋_GB2312"/>
          <w:color w:val="000000" w:themeColor="text1"/>
          <w:kern w:val="2"/>
          <w:sz w:val="32"/>
          <w:szCs w:val="32"/>
          <w:lang w:val="en-US" w:eastAsia="zh-CN" w:bidi="ar-SA"/>
        </w:rPr>
      </w:pPr>
      <w:r>
        <w:rPr>
          <w:rFonts w:hint="eastAsia"/>
          <w:sz w:val="28"/>
          <w:szCs w:val="28"/>
          <w:lang w:val="en-US" w:eastAsia="zh-CN"/>
        </w:rPr>
        <w:t>图10 设立专栏公开省生态环境保护督察“回头看”信息</w:t>
      </w:r>
    </w:p>
    <w:p>
      <w:pPr>
        <w:adjustRightInd w:val="0"/>
        <w:snapToGrid w:val="0"/>
        <w:spacing w:line="560" w:lineRule="exact"/>
        <w:ind w:firstLine="640" w:firstLineChars="200"/>
        <w:outlineLvl w:val="1"/>
        <w:rPr>
          <w:rFonts w:hint="eastAsia" w:ascii="楷体" w:hAnsi="楷体" w:eastAsia="楷体" w:cs="楷体"/>
          <w:color w:val="000000" w:themeColor="text1"/>
          <w:sz w:val="32"/>
          <w:szCs w:val="32"/>
          <w:lang w:val="en-US" w:eastAsia="zh-CN"/>
        </w:rPr>
      </w:pPr>
    </w:p>
    <w:p>
      <w:pPr>
        <w:adjustRightInd w:val="0"/>
        <w:snapToGrid w:val="0"/>
        <w:spacing w:line="560" w:lineRule="exact"/>
        <w:ind w:firstLine="640" w:firstLineChars="200"/>
        <w:outlineLvl w:val="1"/>
        <w:rPr>
          <w:rFonts w:hint="eastAsia" w:ascii="楷体" w:hAnsi="楷体" w:eastAsia="楷体" w:cs="楷体"/>
          <w:color w:val="000000" w:themeColor="text1"/>
          <w:sz w:val="32"/>
          <w:szCs w:val="32"/>
          <w:lang w:val="en-US" w:eastAsia="zh-CN"/>
        </w:rPr>
      </w:pPr>
      <w:r>
        <w:rPr>
          <w:rFonts w:hint="eastAsia" w:ascii="楷体" w:hAnsi="楷体" w:eastAsia="楷体" w:cs="楷体"/>
          <w:color w:val="000000" w:themeColor="text1"/>
          <w:sz w:val="32"/>
          <w:szCs w:val="32"/>
          <w:lang w:val="en-US" w:eastAsia="zh-CN"/>
        </w:rPr>
        <w:t>（二）不断规范依申请公开工作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firstLine="640" w:firstLineChars="200"/>
        <w:textAlignment w:val="auto"/>
        <w:outlineLvl w:val="1"/>
        <w:rPr>
          <w:rFonts w:hint="eastAsia" w:ascii="仿宋_GB2312" w:hAnsi="仿宋_GB2312" w:eastAsia="仿宋_GB2312" w:cs="仿宋_GB2312"/>
          <w:color w:val="000000" w:themeColor="text1"/>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rPr>
        <w:t>2020年，我局以规范答复文书格式为重点，制定并印发了《赣州市生态环境局关于规范政府信息依申请公开办理程序的通知》，明确了接收、登记、办理、审核、答复、送达等要求，建立了依申请公开工作台账，对办理结果、答复日期、主要答复意见、答复书编号、送达情况等内容进行登记。</w:t>
      </w:r>
    </w:p>
    <w:p>
      <w:pPr>
        <w:pStyle w:val="7"/>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640" w:firstLineChars="200"/>
        <w:jc w:val="center"/>
        <w:textAlignment w:val="auto"/>
        <w:outlineLvl w:val="9"/>
        <w:rPr>
          <w:rFonts w:hint="eastAsia" w:ascii="仿宋_GB2312" w:hAnsi="仿宋_GB2312" w:eastAsia="宋体" w:cs="仿宋_GB2312"/>
          <w:color w:val="000000" w:themeColor="text1"/>
          <w:sz w:val="32"/>
          <w:szCs w:val="32"/>
          <w:lang w:val="en-US" w:eastAsia="zh-CN"/>
        </w:rPr>
      </w:pPr>
      <w:r>
        <w:rPr>
          <w:rFonts w:hint="eastAsia" w:ascii="仿宋_GB2312" w:hAnsi="仿宋_GB2312" w:eastAsia="宋体" w:cs="仿宋_GB2312"/>
          <w:color w:val="000000" w:themeColor="text1"/>
          <w:sz w:val="32"/>
          <w:szCs w:val="32"/>
          <w:lang w:val="en-US" w:eastAsia="zh-CN"/>
        </w:rPr>
        <w:drawing>
          <wp:inline distT="0" distB="0" distL="114300" distR="114300">
            <wp:extent cx="4575810" cy="2508885"/>
            <wp:effectExtent l="0" t="0" r="15240" b="5715"/>
            <wp:docPr id="28" name="图片 28" descr="21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1本"/>
                    <pic:cNvPicPr>
                      <a:picLocks noChangeAspect="1"/>
                    </pic:cNvPicPr>
                  </pic:nvPicPr>
                  <pic:blipFill>
                    <a:blip r:embed="rId25"/>
                    <a:srcRect l="13107" t="17186" b="19293"/>
                    <a:stretch>
                      <a:fillRect/>
                    </a:stretch>
                  </pic:blipFill>
                  <pic:spPr>
                    <a:xfrm>
                      <a:off x="0" y="0"/>
                      <a:ext cx="4575810" cy="2508885"/>
                    </a:xfrm>
                    <a:prstGeom prst="rect">
                      <a:avLst/>
                    </a:prstGeom>
                  </pic:spPr>
                </pic:pic>
              </a:graphicData>
            </a:graphic>
          </wp:inline>
        </w:drawing>
      </w:r>
    </w:p>
    <w:p>
      <w:pPr>
        <w:jc w:val="center"/>
        <w:rPr>
          <w:rFonts w:hint="eastAsia" w:ascii="Calibri" w:hAnsi="Calibri" w:eastAsia="宋体" w:cs="黑体"/>
          <w:kern w:val="2"/>
          <w:sz w:val="28"/>
          <w:szCs w:val="28"/>
          <w:lang w:val="en-US" w:eastAsia="zh-CN" w:bidi="ar-SA"/>
        </w:rPr>
      </w:pPr>
      <w:r>
        <w:rPr>
          <w:rFonts w:hint="eastAsia" w:ascii="Calibri" w:hAnsi="Calibri" w:eastAsia="宋体" w:cs="黑体"/>
          <w:kern w:val="2"/>
          <w:sz w:val="28"/>
          <w:szCs w:val="28"/>
          <w:lang w:val="en-US" w:eastAsia="zh-CN" w:bidi="ar-SA"/>
        </w:rPr>
        <w:t>图</w:t>
      </w:r>
      <w:r>
        <w:rPr>
          <w:rFonts w:hint="eastAsia" w:cs="黑体"/>
          <w:kern w:val="2"/>
          <w:sz w:val="28"/>
          <w:szCs w:val="28"/>
          <w:lang w:val="en-US" w:eastAsia="zh-CN" w:bidi="ar-SA"/>
        </w:rPr>
        <w:t>11</w:t>
      </w:r>
      <w:r>
        <w:rPr>
          <w:rFonts w:hint="eastAsia" w:ascii="Calibri" w:hAnsi="Calibri" w:eastAsia="宋体" w:cs="黑体"/>
          <w:kern w:val="2"/>
          <w:sz w:val="28"/>
          <w:szCs w:val="28"/>
          <w:lang w:val="en-US" w:eastAsia="zh-CN" w:bidi="ar-SA"/>
        </w:rPr>
        <w:t xml:space="preserve"> 依申请公开文件及答复书</w:t>
      </w:r>
    </w:p>
    <w:p>
      <w:pPr>
        <w:pStyle w:val="7"/>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640" w:firstLineChars="200"/>
        <w:jc w:val="center"/>
        <w:textAlignment w:val="auto"/>
        <w:outlineLvl w:val="9"/>
        <w:rPr>
          <w:rFonts w:hint="eastAsia" w:ascii="仿宋_GB2312" w:hAnsi="仿宋_GB2312" w:eastAsia="宋体" w:cs="仿宋_GB2312"/>
          <w:color w:val="000000" w:themeColor="text1"/>
          <w:sz w:val="32"/>
          <w:szCs w:val="32"/>
          <w:lang w:val="en-US" w:eastAsia="zh-CN"/>
        </w:rPr>
      </w:pPr>
    </w:p>
    <w:p>
      <w:pPr>
        <w:pStyle w:val="7"/>
        <w:keepNext w:val="0"/>
        <w:keepLines w:val="0"/>
        <w:pageBreakBefore w:val="0"/>
        <w:widowControl/>
        <w:kinsoku/>
        <w:wordWrap/>
        <w:overflowPunct/>
        <w:topLinePunct w:val="0"/>
        <w:autoSpaceDE/>
        <w:autoSpaceDN/>
        <w:bidi w:val="0"/>
        <w:adjustRightInd w:val="0"/>
        <w:snapToGrid w:val="0"/>
        <w:spacing w:beforeAutospacing="0" w:afterAutospacing="0" w:line="560" w:lineRule="exact"/>
        <w:ind w:firstLine="640" w:firstLineChars="200"/>
        <w:jc w:val="both"/>
        <w:textAlignment w:val="auto"/>
        <w:outlineLvl w:val="9"/>
        <w:rPr>
          <w:rFonts w:hint="eastAsia" w:ascii="仿宋_GB2312" w:hAnsi="仿宋_GB2312" w:eastAsia="仿宋_GB2312" w:cs="仿宋_GB2312"/>
          <w:color w:val="000000" w:themeColor="text1"/>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rPr>
        <w:t>2020年度，我局收到依申请公开政府信息8件，全部已经依法办结。按申请途径分类：在线申请4件，邮寄申请4件；按申请人属性分类：自然人3件，社会公益组织4件，其他1件；按办理结果分类：予以公开的2件，部分公开2件，不予公开2件，无法提供2件。我局无因政府信息公开而被申请行政复议的案件，无因政府信息公开申请被提起行政诉讼的案件。</w:t>
      </w:r>
    </w:p>
    <w:p>
      <w:pPr>
        <w:pStyle w:val="7"/>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640" w:firstLineChars="200"/>
        <w:jc w:val="center"/>
        <w:textAlignment w:val="auto"/>
        <w:outlineLvl w:val="9"/>
        <w:rPr>
          <w:rFonts w:hint="eastAsia" w:ascii="仿宋_GB2312" w:hAnsi="仿宋_GB2312" w:eastAsia="宋体" w:cs="仿宋_GB2312"/>
          <w:color w:val="000000" w:themeColor="text1"/>
          <w:sz w:val="32"/>
          <w:szCs w:val="32"/>
          <w:lang w:val="en-US" w:eastAsia="zh-CN"/>
        </w:rPr>
      </w:pPr>
      <w:r>
        <w:rPr>
          <w:rFonts w:hint="eastAsia" w:ascii="仿宋_GB2312" w:hAnsi="仿宋_GB2312" w:eastAsia="宋体" w:cs="仿宋_GB2312"/>
          <w:color w:val="000000" w:themeColor="text1"/>
          <w:sz w:val="32"/>
          <w:szCs w:val="32"/>
          <w:lang w:val="en-US" w:eastAsia="zh-CN"/>
        </w:rPr>
        <w:drawing>
          <wp:inline distT="0" distB="0" distL="114300" distR="114300">
            <wp:extent cx="4571365" cy="2694940"/>
            <wp:effectExtent l="0" t="0" r="635" b="10160"/>
            <wp:docPr id="20" name="图片 20" descr="依申请公开件分类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依申请公开件分类统计"/>
                    <pic:cNvPicPr>
                      <a:picLocks noChangeAspect="1"/>
                    </pic:cNvPicPr>
                  </pic:nvPicPr>
                  <pic:blipFill>
                    <a:blip r:embed="rId26"/>
                    <a:stretch>
                      <a:fillRect/>
                    </a:stretch>
                  </pic:blipFill>
                  <pic:spPr>
                    <a:xfrm>
                      <a:off x="0" y="0"/>
                      <a:ext cx="4571365" cy="2694940"/>
                    </a:xfrm>
                    <a:prstGeom prst="rect">
                      <a:avLst/>
                    </a:prstGeom>
                  </pic:spPr>
                </pic:pic>
              </a:graphicData>
            </a:graphic>
          </wp:inline>
        </w:drawing>
      </w:r>
    </w:p>
    <w:p>
      <w:pPr>
        <w:jc w:val="center"/>
        <w:rPr>
          <w:rFonts w:hint="eastAsia" w:ascii="楷体" w:hAnsi="楷体" w:eastAsia="楷体" w:cs="楷体"/>
          <w:color w:val="000000" w:themeColor="text1"/>
          <w:sz w:val="32"/>
          <w:szCs w:val="32"/>
          <w:lang w:val="en-US" w:eastAsia="zh-CN"/>
        </w:rPr>
      </w:pPr>
      <w:r>
        <w:rPr>
          <w:rFonts w:hint="eastAsia" w:ascii="Calibri" w:hAnsi="Calibri" w:eastAsia="宋体" w:cs="黑体"/>
          <w:kern w:val="2"/>
          <w:sz w:val="28"/>
          <w:szCs w:val="28"/>
          <w:lang w:val="en-US" w:eastAsia="zh-CN" w:bidi="ar-SA"/>
        </w:rPr>
        <w:t>图</w:t>
      </w:r>
      <w:r>
        <w:rPr>
          <w:rFonts w:hint="eastAsia" w:cs="黑体"/>
          <w:kern w:val="2"/>
          <w:sz w:val="28"/>
          <w:szCs w:val="28"/>
          <w:lang w:val="en-US" w:eastAsia="zh-CN" w:bidi="ar-SA"/>
        </w:rPr>
        <w:t>12</w:t>
      </w:r>
      <w:r>
        <w:rPr>
          <w:rFonts w:hint="eastAsia" w:ascii="Calibri" w:hAnsi="Calibri" w:eastAsia="宋体" w:cs="黑体"/>
          <w:kern w:val="2"/>
          <w:sz w:val="28"/>
          <w:szCs w:val="28"/>
          <w:lang w:val="en-US" w:eastAsia="zh-CN" w:bidi="ar-SA"/>
        </w:rPr>
        <w:t xml:space="preserve"> 依申请公开件分类统计表及相关文件</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default" w:ascii="仿宋_GB2312" w:hAnsi="仿宋" w:eastAsia="仿宋_GB2312" w:cs="仿宋"/>
          <w:color w:val="000000" w:themeColor="text1"/>
          <w:sz w:val="32"/>
          <w:szCs w:val="32"/>
          <w:lang w:val="en-US" w:eastAsia="zh-CN"/>
        </w:rPr>
      </w:pPr>
      <w:r>
        <w:rPr>
          <w:rFonts w:hint="eastAsia" w:ascii="楷体" w:hAnsi="楷体" w:eastAsia="楷体" w:cs="楷体"/>
          <w:color w:val="000000" w:themeColor="text1"/>
          <w:sz w:val="32"/>
          <w:szCs w:val="32"/>
          <w:lang w:val="en-US" w:eastAsia="zh-CN"/>
        </w:rPr>
        <w:t>（三）加强政府信息管理</w:t>
      </w:r>
    </w:p>
    <w:p>
      <w:pPr>
        <w:adjustRightInd w:val="0"/>
        <w:snapToGrid w:val="0"/>
        <w:spacing w:line="560" w:lineRule="exact"/>
        <w:ind w:firstLine="640" w:firstLineChars="200"/>
        <w:outlineLvl w:val="1"/>
        <w:rPr>
          <w:rFonts w:hint="eastAsia" w:ascii="仿宋_GB2312" w:hAnsi="仿宋" w:eastAsia="仿宋_GB2312" w:cs="仿宋"/>
          <w:b w:val="0"/>
          <w:bCs w:val="0"/>
          <w:color w:val="auto"/>
          <w:kern w:val="2"/>
          <w:sz w:val="32"/>
          <w:szCs w:val="32"/>
          <w:lang w:val="en-US" w:eastAsia="zh-CN" w:bidi="ar-SA"/>
        </w:rPr>
      </w:pPr>
      <w:r>
        <w:rPr>
          <w:rFonts w:hint="eastAsia" w:ascii="仿宋_GB2312" w:hAnsi="仿宋" w:eastAsia="仿宋_GB2312" w:cs="仿宋"/>
          <w:b w:val="0"/>
          <w:bCs w:val="0"/>
          <w:color w:val="auto"/>
          <w:kern w:val="2"/>
          <w:sz w:val="32"/>
          <w:szCs w:val="32"/>
          <w:lang w:val="en-US" w:eastAsia="zh-CN" w:bidi="ar-SA"/>
        </w:rPr>
        <w:t>有力推进政务公开标准化规范化工作</w:t>
      </w:r>
      <w:r>
        <w:rPr>
          <w:rFonts w:hint="eastAsia" w:ascii="楷体" w:hAnsi="楷体" w:eastAsia="楷体" w:cs="楷体"/>
          <w:color w:val="000000" w:themeColor="text1"/>
          <w:sz w:val="32"/>
          <w:szCs w:val="32"/>
          <w:lang w:val="en-US" w:eastAsia="zh-CN"/>
        </w:rPr>
        <w:t>。</w:t>
      </w:r>
      <w:r>
        <w:rPr>
          <w:rFonts w:hint="eastAsia" w:ascii="仿宋_GB2312" w:hAnsi="仿宋" w:eastAsia="仿宋_GB2312" w:cs="仿宋"/>
          <w:b w:val="0"/>
          <w:bCs w:val="0"/>
          <w:color w:val="auto"/>
          <w:kern w:val="2"/>
          <w:sz w:val="32"/>
          <w:szCs w:val="32"/>
          <w:lang w:val="en-US" w:eastAsia="zh-CN" w:bidi="ar-SA"/>
        </w:rPr>
        <w:t>积极推进全市生态环境领域基层政务公开标准目录编制工作。</w:t>
      </w:r>
      <w:r>
        <w:rPr>
          <w:rFonts w:hint="eastAsia" w:ascii="仿宋_GB2312" w:hAnsi="仿宋" w:eastAsia="仿宋_GB2312" w:cs="仿宋"/>
          <w:color w:val="auto"/>
          <w:sz w:val="32"/>
          <w:szCs w:val="32"/>
          <w:lang w:val="en-US" w:eastAsia="zh-CN"/>
        </w:rPr>
        <w:t>编制了</w:t>
      </w:r>
      <w:r>
        <w:rPr>
          <w:rFonts w:hint="eastAsia" w:ascii="仿宋_GB2312" w:hAnsi="仿宋" w:eastAsia="仿宋_GB2312" w:cs="仿宋"/>
          <w:b w:val="0"/>
          <w:bCs w:val="0"/>
          <w:color w:val="auto"/>
          <w:kern w:val="2"/>
          <w:sz w:val="32"/>
          <w:szCs w:val="32"/>
          <w:lang w:val="en-US" w:eastAsia="zh-CN" w:bidi="ar-SA"/>
        </w:rPr>
        <w:t>市本级生态环境领域基层政务公开标准目录，审核完成了20个县（市、区）生态环境领域基层政务公开标准目录工作。</w:t>
      </w:r>
    </w:p>
    <w:p>
      <w:pPr>
        <w:pStyle w:val="7"/>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640" w:firstLineChars="200"/>
        <w:jc w:val="center"/>
        <w:textAlignment w:val="auto"/>
        <w:outlineLvl w:val="9"/>
        <w:rPr>
          <w:rFonts w:hint="eastAsia" w:ascii="仿宋_GB2312" w:hAnsi="仿宋" w:eastAsia="仿宋_GB2312" w:cs="仿宋"/>
          <w:b w:val="0"/>
          <w:bCs w:val="0"/>
          <w:color w:val="000000"/>
          <w:kern w:val="2"/>
          <w:sz w:val="32"/>
          <w:szCs w:val="32"/>
          <w:lang w:val="en-US" w:eastAsia="zh-CN" w:bidi="ar-SA"/>
        </w:rPr>
      </w:pPr>
      <w:r>
        <w:rPr>
          <w:rFonts w:hint="eastAsia" w:ascii="仿宋_GB2312" w:hAnsi="仿宋" w:eastAsia="仿宋_GB2312" w:cs="仿宋"/>
          <w:b w:val="0"/>
          <w:bCs w:val="0"/>
          <w:color w:val="000000"/>
          <w:kern w:val="2"/>
          <w:sz w:val="32"/>
          <w:szCs w:val="32"/>
          <w:lang w:val="en-US" w:eastAsia="zh-CN" w:bidi="ar-SA"/>
        </w:rPr>
        <w:drawing>
          <wp:inline distT="0" distB="0" distL="114300" distR="114300">
            <wp:extent cx="3065780" cy="2200275"/>
            <wp:effectExtent l="0" t="0" r="1270" b="9525"/>
            <wp:docPr id="21" name="图片 21" descr="IMG_20210121_15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10121_151511"/>
                    <pic:cNvPicPr>
                      <a:picLocks noChangeAspect="1"/>
                    </pic:cNvPicPr>
                  </pic:nvPicPr>
                  <pic:blipFill>
                    <a:blip r:embed="rId27"/>
                    <a:srcRect l="3035" t="7797" b="-572"/>
                    <a:stretch>
                      <a:fillRect/>
                    </a:stretch>
                  </pic:blipFill>
                  <pic:spPr>
                    <a:xfrm>
                      <a:off x="0" y="0"/>
                      <a:ext cx="3065780" cy="2200275"/>
                    </a:xfrm>
                    <a:prstGeom prst="rect">
                      <a:avLst/>
                    </a:prstGeom>
                  </pic:spPr>
                </pic:pic>
              </a:graphicData>
            </a:graphic>
          </wp:inline>
        </w:drawing>
      </w:r>
    </w:p>
    <w:p>
      <w:pPr>
        <w:pStyle w:val="7"/>
        <w:widowControl/>
        <w:adjustRightInd w:val="0"/>
        <w:snapToGrid w:val="0"/>
        <w:spacing w:beforeAutospacing="0" w:afterAutospacing="0" w:line="560" w:lineRule="exact"/>
        <w:jc w:val="center"/>
        <w:rPr>
          <w:rFonts w:hint="eastAsia" w:ascii="Calibri" w:hAnsi="Calibri" w:eastAsia="宋体" w:cs="黑体"/>
          <w:kern w:val="2"/>
          <w:sz w:val="28"/>
          <w:szCs w:val="28"/>
          <w:lang w:val="en-US" w:eastAsia="zh-CN" w:bidi="ar-SA"/>
        </w:rPr>
      </w:pPr>
      <w:r>
        <w:rPr>
          <w:rFonts w:hint="eastAsia" w:ascii="Calibri" w:hAnsi="Calibri" w:eastAsia="宋体" w:cs="黑体"/>
          <w:kern w:val="2"/>
          <w:sz w:val="28"/>
          <w:szCs w:val="28"/>
          <w:lang w:val="en-US" w:eastAsia="zh-CN" w:bidi="ar-SA"/>
        </w:rPr>
        <w:t>图</w:t>
      </w:r>
      <w:r>
        <w:rPr>
          <w:rFonts w:hint="eastAsia" w:cs="黑体"/>
          <w:kern w:val="2"/>
          <w:sz w:val="28"/>
          <w:szCs w:val="28"/>
          <w:lang w:val="en-US" w:eastAsia="zh-CN" w:bidi="ar-SA"/>
        </w:rPr>
        <w:t>13</w:t>
      </w:r>
      <w:r>
        <w:rPr>
          <w:rFonts w:hint="eastAsia" w:ascii="Calibri" w:hAnsi="Calibri" w:eastAsia="宋体" w:cs="黑体"/>
          <w:kern w:val="2"/>
          <w:sz w:val="28"/>
          <w:szCs w:val="28"/>
          <w:lang w:val="en-US" w:eastAsia="zh-CN" w:bidi="ar-SA"/>
        </w:rPr>
        <w:t xml:space="preserve"> 各县（市、区）生态环境领域基层政务公开标准目录复函</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仿宋_GB2312" w:hAnsi="仿宋" w:eastAsia="仿宋_GB2312" w:cs="仿宋"/>
          <w:color w:val="000000" w:themeColor="text1"/>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楷体" w:hAnsi="楷体" w:eastAsia="楷体" w:cs="楷体"/>
          <w:color w:val="000000" w:themeColor="text1"/>
          <w:sz w:val="32"/>
          <w:szCs w:val="32"/>
          <w:lang w:val="en-US" w:eastAsia="zh-CN"/>
        </w:rPr>
      </w:pPr>
      <w:r>
        <w:rPr>
          <w:rFonts w:hint="eastAsia" w:ascii="仿宋_GB2312" w:hAnsi="仿宋" w:eastAsia="仿宋_GB2312" w:cs="仿宋"/>
          <w:color w:val="000000" w:themeColor="text1"/>
          <w:sz w:val="32"/>
          <w:szCs w:val="32"/>
          <w:lang w:val="en-US" w:eastAsia="zh-CN"/>
        </w:rPr>
        <w:t>严格信息审核发布。</w:t>
      </w:r>
      <w:r>
        <w:rPr>
          <w:rFonts w:hint="default" w:ascii="仿宋_GB2312" w:hAnsi="仿宋" w:eastAsia="仿宋_GB2312" w:cs="仿宋"/>
          <w:color w:val="000000" w:themeColor="text1"/>
          <w:sz w:val="32"/>
          <w:szCs w:val="32"/>
          <w:lang w:val="en-US" w:eastAsia="zh-CN"/>
        </w:rPr>
        <w:t>严把</w:t>
      </w:r>
      <w:r>
        <w:rPr>
          <w:rFonts w:hint="eastAsia" w:ascii="仿宋_GB2312" w:hAnsi="仿宋" w:eastAsia="仿宋_GB2312" w:cs="仿宋"/>
          <w:color w:val="000000" w:themeColor="text1"/>
          <w:sz w:val="32"/>
          <w:szCs w:val="32"/>
          <w:lang w:val="en-US" w:eastAsia="zh-CN"/>
        </w:rPr>
        <w:t>信息的政治关、政策关、保密关和文字关</w:t>
      </w:r>
      <w:r>
        <w:rPr>
          <w:rFonts w:hint="default" w:ascii="仿宋_GB2312" w:hAnsi="仿宋" w:eastAsia="仿宋_GB2312" w:cs="仿宋"/>
          <w:color w:val="000000" w:themeColor="text1"/>
          <w:sz w:val="32"/>
          <w:szCs w:val="32"/>
          <w:lang w:val="en-US" w:eastAsia="zh-CN"/>
        </w:rPr>
        <w:t>，</w:t>
      </w:r>
      <w:r>
        <w:rPr>
          <w:rFonts w:hint="eastAsia" w:ascii="仿宋_GB2312" w:hAnsi="仿宋" w:eastAsia="仿宋_GB2312" w:cs="仿宋"/>
          <w:color w:val="000000" w:themeColor="text1"/>
          <w:sz w:val="32"/>
          <w:szCs w:val="32"/>
          <w:lang w:val="en-US" w:eastAsia="zh-CN"/>
        </w:rPr>
        <w:t>信息发布实行“分级审核、先审后发、授权发布”制度，</w:t>
      </w:r>
      <w:r>
        <w:rPr>
          <w:rFonts w:hint="default" w:ascii="仿宋_GB2312" w:hAnsi="仿宋" w:eastAsia="仿宋_GB2312" w:cs="仿宋"/>
          <w:color w:val="000000" w:themeColor="text1"/>
          <w:sz w:val="32"/>
          <w:szCs w:val="32"/>
          <w:lang w:val="en-US" w:eastAsia="zh-CN"/>
        </w:rPr>
        <w:t>重要信息由主要领导审签，做到逐级把关、层层负责</w:t>
      </w:r>
      <w:r>
        <w:rPr>
          <w:rFonts w:hint="eastAsia" w:ascii="仿宋_GB2312" w:hAnsi="仿宋" w:eastAsia="仿宋_GB2312" w:cs="仿宋"/>
          <w:b w:val="0"/>
          <w:bCs w:val="0"/>
          <w:color w:val="000000" w:themeColor="text1"/>
          <w:kern w:val="2"/>
          <w:sz w:val="32"/>
          <w:szCs w:val="32"/>
          <w:lang w:val="en-US" w:eastAsia="zh-CN" w:bidi="ar-SA"/>
        </w:rPr>
        <w:t>。</w:t>
      </w:r>
      <w:r>
        <w:rPr>
          <w:rFonts w:hint="default" w:ascii="仿宋_GB2312" w:hAnsi="仿宋" w:eastAsia="仿宋_GB2312" w:cs="仿宋"/>
          <w:color w:val="000000" w:themeColor="text1"/>
          <w:sz w:val="32"/>
          <w:szCs w:val="32"/>
          <w:lang w:val="en-US" w:eastAsia="zh-CN"/>
        </w:rPr>
        <w:t>按照《中华人民共和国保守国家秘密法》和《中华人民共和国政府信息公开条例》的要求，做好信息公开保密审查工作，坚决防止失泄密事件发生。</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eastAsia" w:ascii="楷体" w:hAnsi="楷体" w:eastAsia="楷体" w:cs="楷体"/>
          <w:color w:val="000000" w:themeColor="text1"/>
          <w:sz w:val="32"/>
          <w:szCs w:val="32"/>
          <w:lang w:val="en-US" w:eastAsia="zh-CN"/>
        </w:rPr>
      </w:pPr>
      <w:r>
        <w:rPr>
          <w:rFonts w:hint="eastAsia" w:ascii="楷体" w:hAnsi="楷体" w:eastAsia="楷体" w:cs="楷体"/>
          <w:color w:val="000000" w:themeColor="text1"/>
          <w:sz w:val="32"/>
          <w:szCs w:val="32"/>
          <w:lang w:val="en-US" w:eastAsia="zh-CN"/>
        </w:rPr>
        <w:t>（四）抓好平台建设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
          <w:b w:val="0"/>
          <w:bCs w:val="0"/>
          <w:color w:val="000000" w:themeColor="text1"/>
          <w:kern w:val="2"/>
          <w:sz w:val="32"/>
          <w:szCs w:val="32"/>
          <w:lang w:val="en-US" w:eastAsia="zh-CN" w:bidi="ar-SA"/>
        </w:rPr>
      </w:pPr>
      <w:r>
        <w:rPr>
          <w:rFonts w:hint="eastAsia" w:ascii="仿宋_GB2312" w:hAnsi="仿宋" w:eastAsia="仿宋_GB2312" w:cs="仿宋"/>
          <w:b w:val="0"/>
          <w:bCs w:val="0"/>
          <w:color w:val="000000" w:themeColor="text1"/>
          <w:kern w:val="2"/>
          <w:sz w:val="32"/>
          <w:szCs w:val="32"/>
          <w:lang w:val="en-US" w:eastAsia="zh-CN" w:bidi="ar-SA"/>
        </w:rPr>
        <w:t>目前，我局形成了以赣州市政府网站、赣州市生态环境局网站为第一公开平台，赣州环保微信公众号及赣州市环境保护局政务微博、新闻媒体等多元化平台相结合的主动公开渠道。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
          <w:b w:val="0"/>
          <w:bCs w:val="0"/>
          <w:color w:val="000000" w:themeColor="text1"/>
          <w:kern w:val="2"/>
          <w:sz w:val="32"/>
          <w:szCs w:val="32"/>
          <w:lang w:val="en-US" w:eastAsia="zh-CN" w:bidi="ar-SA"/>
        </w:rPr>
      </w:pPr>
      <w:r>
        <w:rPr>
          <w:rFonts w:hint="eastAsia" w:ascii="仿宋_GB2312" w:hAnsi="仿宋" w:eastAsia="仿宋_GB2312" w:cs="仿宋"/>
          <w:b w:val="0"/>
          <w:bCs w:val="0"/>
          <w:color w:val="000000" w:themeColor="text1"/>
          <w:kern w:val="2"/>
          <w:sz w:val="32"/>
          <w:szCs w:val="32"/>
          <w:lang w:val="en-US" w:eastAsia="zh-CN" w:bidi="ar-SA"/>
        </w:rPr>
        <w:t>积极做好我局政务公开平台的运营管理工作，制定出台了《赣州市生态环境局政务新媒体运行管理制度》，从“更新度、原创度、联动度、传播度”等四个方面积极做好我局“两微”平台运营管理，坚持做到每日更新信息。按照网站集约化和公开平台规范化要求，积极配合市大数据局，将我局网站集约到市政府网站。强化网站完全监测和检查，及时对网站内容保障情况进行自查，结合市政府办季度抽查存在的问题，及时做好整改。强化网站安全监测和检查，及时对网站内容保障情况进行自查，结合市政府办季度抽查存在的问题，及时做好整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 w:eastAsia="仿宋_GB2312" w:cs="仿宋"/>
          <w:b w:val="0"/>
          <w:bCs w:val="0"/>
          <w:color w:val="000000" w:themeColor="text1"/>
          <w:kern w:val="2"/>
          <w:sz w:val="32"/>
          <w:szCs w:val="32"/>
          <w:lang w:val="en-US" w:eastAsia="zh-CN" w:bidi="ar-SA"/>
        </w:rPr>
        <w:t>加强政务公开平台网络安全管理。积极贯彻落实习近平总书记关于网络安全工作的重要指示批示特别是“四个坚持”的重要指示精神，深入学习《网络安全法》等法律法规，建立和落实网络安全责任制，筑牢网络安全思想防线，提高网络安全管理意识，严格执行信息安全管理制度，定期检查和评估全局网络安全状况，及时处置网络安全攻击事件，保障整个生态环境系统网络正常稳定运行。</w:t>
      </w:r>
    </w:p>
    <w:p>
      <w:pPr>
        <w:keepNext w:val="0"/>
        <w:keepLines w:val="0"/>
        <w:pageBreakBefore w:val="0"/>
        <w:widowControl/>
        <w:kinsoku/>
        <w:wordWrap/>
        <w:overflowPunct/>
        <w:topLinePunct w:val="0"/>
        <w:autoSpaceDE/>
        <w:autoSpaceDN/>
        <w:bidi w:val="0"/>
        <w:adjustRightInd w:val="0"/>
        <w:snapToGrid w:val="0"/>
        <w:spacing w:line="560" w:lineRule="exact"/>
        <w:ind w:firstLine="420" w:firstLineChars="200"/>
        <w:textAlignment w:val="auto"/>
        <w:outlineLvl w:val="9"/>
        <w:rPr>
          <w:rFonts w:hint="eastAsia"/>
          <w:lang w:val="en-US" w:eastAsia="zh-CN"/>
        </w:rPr>
      </w:pPr>
    </w:p>
    <w:tbl>
      <w:tblPr>
        <w:tblStyle w:val="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Merge w:val="restart"/>
          </w:tcPr>
          <w:p>
            <w:pPr>
              <w:rPr>
                <w:rFonts w:hint="eastAsia"/>
                <w:lang w:val="en-US" w:eastAsia="zh-CN"/>
              </w:rPr>
            </w:pPr>
          </w:p>
          <w:p>
            <w:pPr>
              <w:rPr>
                <w:rFonts w:hint="eastAsia"/>
                <w:vertAlign w:val="baseline"/>
                <w:lang w:val="en-US" w:eastAsia="zh-CN"/>
              </w:rPr>
            </w:pPr>
            <w:r>
              <w:rPr>
                <w:rFonts w:hint="eastAsia"/>
                <w:lang w:val="en-US" w:eastAsia="zh-CN"/>
              </w:rPr>
              <w:drawing>
                <wp:inline distT="0" distB="0" distL="114300" distR="114300">
                  <wp:extent cx="2437130" cy="2521585"/>
                  <wp:effectExtent l="0" t="0" r="1270" b="12065"/>
                  <wp:docPr id="24" name="图片 24" descr="9[ZMGVC46_~T`[}$P0V5X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ZMGVC46_~T`[}$P0V5XOG"/>
                          <pic:cNvPicPr>
                            <a:picLocks noChangeAspect="1"/>
                          </pic:cNvPicPr>
                        </pic:nvPicPr>
                        <pic:blipFill>
                          <a:blip r:embed="rId28"/>
                          <a:stretch>
                            <a:fillRect/>
                          </a:stretch>
                        </pic:blipFill>
                        <pic:spPr>
                          <a:xfrm>
                            <a:off x="0" y="0"/>
                            <a:ext cx="2437130" cy="2521585"/>
                          </a:xfrm>
                          <a:prstGeom prst="rect">
                            <a:avLst/>
                          </a:prstGeom>
                        </pic:spPr>
                      </pic:pic>
                    </a:graphicData>
                  </a:graphic>
                </wp:inline>
              </w:drawing>
            </w:r>
          </w:p>
        </w:tc>
        <w:tc>
          <w:tcPr>
            <w:tcW w:w="4261" w:type="dxa"/>
          </w:tcPr>
          <w:p>
            <w:pPr>
              <w:rPr>
                <w:rFonts w:hint="eastAsia"/>
                <w:vertAlign w:val="baseline"/>
                <w:lang w:val="en-US" w:eastAsia="zh-CN"/>
              </w:rPr>
            </w:pPr>
            <w:r>
              <w:rPr>
                <w:rFonts w:hint="eastAsia"/>
                <w:lang w:val="en-US" w:eastAsia="zh-CN"/>
              </w:rPr>
              <w:drawing>
                <wp:inline distT="0" distB="0" distL="114300" distR="114300">
                  <wp:extent cx="2487295" cy="1054735"/>
                  <wp:effectExtent l="0" t="0" r="8255" b="12065"/>
                  <wp:docPr id="25" name="图片 25" descr="1611214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11214218(1)"/>
                          <pic:cNvPicPr>
                            <a:picLocks noChangeAspect="1"/>
                          </pic:cNvPicPr>
                        </pic:nvPicPr>
                        <pic:blipFill>
                          <a:blip r:embed="rId29"/>
                          <a:stretch>
                            <a:fillRect/>
                          </a:stretch>
                        </pic:blipFill>
                        <pic:spPr>
                          <a:xfrm>
                            <a:off x="0" y="0"/>
                            <a:ext cx="2487295" cy="10547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Merge w:val="continue"/>
          </w:tcPr>
          <w:p>
            <w:pPr>
              <w:rPr>
                <w:rFonts w:hint="eastAsia"/>
                <w:vertAlign w:val="baseline"/>
                <w:lang w:val="en-US" w:eastAsia="zh-CN"/>
              </w:rPr>
            </w:pPr>
          </w:p>
        </w:tc>
        <w:tc>
          <w:tcPr>
            <w:tcW w:w="4261" w:type="dxa"/>
          </w:tcPr>
          <w:p>
            <w:pPr>
              <w:rPr>
                <w:rFonts w:hint="eastAsia"/>
                <w:vertAlign w:val="baseline"/>
                <w:lang w:val="en-US" w:eastAsia="zh-CN"/>
              </w:rPr>
            </w:pPr>
            <w:r>
              <w:rPr>
                <w:rFonts w:hint="eastAsia"/>
                <w:lang w:val="en-US" w:eastAsia="zh-CN"/>
              </w:rPr>
              <w:drawing>
                <wp:inline distT="0" distB="0" distL="114300" distR="114300">
                  <wp:extent cx="2426970" cy="1541780"/>
                  <wp:effectExtent l="0" t="0" r="11430" b="1270"/>
                  <wp:docPr id="26" name="图片 26" descr="Screenshot_2021-01-21-15-35-14-102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creenshot_2021-01-21-15-35-14-102_com.tencent.mm"/>
                          <pic:cNvPicPr>
                            <a:picLocks noChangeAspect="1"/>
                          </pic:cNvPicPr>
                        </pic:nvPicPr>
                        <pic:blipFill>
                          <a:blip r:embed="rId30"/>
                          <a:srcRect b="34314"/>
                          <a:stretch>
                            <a:fillRect/>
                          </a:stretch>
                        </pic:blipFill>
                        <pic:spPr>
                          <a:xfrm>
                            <a:off x="0" y="0"/>
                            <a:ext cx="2426970" cy="1541780"/>
                          </a:xfrm>
                          <a:prstGeom prst="rect">
                            <a:avLst/>
                          </a:prstGeom>
                        </pic:spPr>
                      </pic:pic>
                    </a:graphicData>
                  </a:graphic>
                </wp:inline>
              </w:drawing>
            </w:r>
          </w:p>
        </w:tc>
      </w:tr>
    </w:tbl>
    <w:p>
      <w:pPr>
        <w:jc w:val="center"/>
        <w:rPr>
          <w:rFonts w:hint="eastAsia"/>
          <w:sz w:val="28"/>
          <w:szCs w:val="28"/>
          <w:lang w:val="en-US" w:eastAsia="zh-CN"/>
        </w:rPr>
      </w:pPr>
      <w:r>
        <w:rPr>
          <w:rFonts w:hint="eastAsia"/>
          <w:sz w:val="28"/>
          <w:szCs w:val="28"/>
          <w:lang w:val="en-US" w:eastAsia="zh-CN"/>
        </w:rPr>
        <w:t>图14 两微一网截图</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eastAsia" w:ascii="楷体" w:hAnsi="楷体" w:eastAsia="楷体" w:cs="楷体"/>
          <w:color w:val="000000" w:themeColor="text1"/>
          <w:sz w:val="32"/>
          <w:szCs w:val="32"/>
          <w:lang w:val="en-US" w:eastAsia="zh-CN"/>
        </w:rPr>
      </w:pPr>
      <w:r>
        <w:rPr>
          <w:rFonts w:hint="eastAsia" w:ascii="楷体" w:hAnsi="楷体" w:eastAsia="楷体" w:cs="楷体"/>
          <w:color w:val="000000" w:themeColor="text1"/>
          <w:sz w:val="32"/>
          <w:szCs w:val="32"/>
          <w:lang w:val="en-US" w:eastAsia="zh-CN"/>
        </w:rPr>
        <w:t>（五）强化监督保障</w:t>
      </w:r>
    </w:p>
    <w:p>
      <w:pPr>
        <w:adjustRightInd w:val="0"/>
        <w:snapToGrid w:val="0"/>
        <w:spacing w:line="560" w:lineRule="exact"/>
        <w:ind w:firstLine="640" w:firstLineChars="200"/>
        <w:outlineLvl w:val="1"/>
        <w:rPr>
          <w:rFonts w:hint="eastAsia" w:ascii="仿宋_GB2312" w:hAnsi="仿宋" w:eastAsia="仿宋_GB2312" w:cs="仿宋"/>
          <w:color w:val="000000" w:themeColor="text1"/>
          <w:sz w:val="32"/>
          <w:szCs w:val="32"/>
          <w:lang w:val="en-US" w:eastAsia="zh-CN"/>
        </w:rPr>
      </w:pPr>
      <w:r>
        <w:rPr>
          <w:rFonts w:hint="eastAsia" w:ascii="仿宋_GB2312" w:hAnsi="仿宋" w:eastAsia="仿宋_GB2312" w:cs="仿宋"/>
          <w:color w:val="000000" w:themeColor="text1"/>
          <w:sz w:val="32"/>
          <w:szCs w:val="32"/>
          <w:lang w:val="en-US" w:eastAsia="zh-CN"/>
        </w:rPr>
        <w:t>我局高度重视信息公开工作，将政务公开工作纳入我局绩效考核及我市生态环境系统2020年度目标考核，局党组多次召开会议研究部署了信息公开工作，审议并通过了《赣州市生态环境局政府信息公开目录》《赣州市生态环境局政务新媒体运行管理制度》《赣州市生态环境局关于规范政府信息依申请公开办理程序的通知》。加强教育培训，派员参加省、市组织的政务公开工作培训会议，提升政务公开工作人员水平。组织召开赣州市生态环境局政务公开调度工作会议，通报了2020年政务公开工作总体情况，及时将省、市两级有关政务公开工作任务分解到各科室（单位），明确了下半年政务公开工作需要补齐的短板。</w:t>
      </w:r>
    </w:p>
    <w:p>
      <w:pPr>
        <w:pStyle w:val="2"/>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lang w:val="en-US" w:eastAsia="zh-CN"/>
        </w:rPr>
      </w:pPr>
      <w:r>
        <w:rPr>
          <w:rFonts w:ascii="宋体" w:hAnsi="宋体" w:eastAsia="宋体" w:cs="宋体"/>
          <w:sz w:val="24"/>
          <w:szCs w:val="24"/>
        </w:rPr>
        <w:drawing>
          <wp:inline distT="0" distB="0" distL="114300" distR="114300">
            <wp:extent cx="2400300" cy="1799590"/>
            <wp:effectExtent l="0" t="0" r="0" b="10160"/>
            <wp:docPr id="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56"/>
                    <pic:cNvPicPr>
                      <a:picLocks noChangeAspect="1"/>
                    </pic:cNvPicPr>
                  </pic:nvPicPr>
                  <pic:blipFill>
                    <a:blip r:embed="rId31"/>
                    <a:stretch>
                      <a:fillRect/>
                    </a:stretch>
                  </pic:blipFill>
                  <pic:spPr>
                    <a:xfrm>
                      <a:off x="0" y="0"/>
                      <a:ext cx="2400300" cy="1799590"/>
                    </a:xfrm>
                    <a:prstGeom prst="rect">
                      <a:avLst/>
                    </a:prstGeom>
                    <a:noFill/>
                    <a:ln w="9525">
                      <a:noFill/>
                    </a:ln>
                  </pic:spPr>
                </pic:pic>
              </a:graphicData>
            </a:graphic>
          </wp:inline>
        </w:drawing>
      </w:r>
      <w:r>
        <w:rPr>
          <w:rFonts w:hint="eastAsia"/>
          <w:lang w:val="en-US" w:eastAsia="zh-CN"/>
        </w:rPr>
        <w:drawing>
          <wp:inline distT="0" distB="0" distL="114300" distR="114300">
            <wp:extent cx="2364740" cy="1773555"/>
            <wp:effectExtent l="0" t="0" r="16510" b="17145"/>
            <wp:docPr id="23" name="图片 23" descr="微信图片_2020091711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917115132"/>
                    <pic:cNvPicPr>
                      <a:picLocks noChangeAspect="1"/>
                    </pic:cNvPicPr>
                  </pic:nvPicPr>
                  <pic:blipFill>
                    <a:blip r:embed="rId32"/>
                    <a:stretch>
                      <a:fillRect/>
                    </a:stretch>
                  </pic:blipFill>
                  <pic:spPr>
                    <a:xfrm>
                      <a:off x="0" y="0"/>
                      <a:ext cx="2364740" cy="1773555"/>
                    </a:xfrm>
                    <a:prstGeom prst="rect">
                      <a:avLst/>
                    </a:prstGeom>
                  </pic:spPr>
                </pic:pic>
              </a:graphicData>
            </a:graphic>
          </wp:inline>
        </w:drawing>
      </w:r>
    </w:p>
    <w:p>
      <w:pPr>
        <w:jc w:val="center"/>
        <w:rPr>
          <w:rFonts w:hint="eastAsia"/>
          <w:sz w:val="28"/>
          <w:szCs w:val="28"/>
          <w:lang w:val="en-US" w:eastAsia="zh-CN"/>
        </w:rPr>
      </w:pPr>
      <w:r>
        <w:rPr>
          <w:rFonts w:hint="eastAsia"/>
          <w:sz w:val="28"/>
          <w:szCs w:val="28"/>
          <w:lang w:val="en-US" w:eastAsia="zh-CN"/>
        </w:rPr>
        <w:t>图15 召开会议研究部署政务公开工作</w:t>
      </w:r>
    </w:p>
    <w:p>
      <w:pPr>
        <w:pStyle w:val="2"/>
        <w:rPr>
          <w:rFonts w:hint="eastAsia"/>
          <w:lang w:val="en-US" w:eastAsia="zh-CN"/>
        </w:rPr>
        <w:sectPr>
          <w:footerReference r:id="rId3" w:type="default"/>
          <w:pgSz w:w="11906" w:h="16838"/>
          <w:pgMar w:top="1440" w:right="1800" w:bottom="1440" w:left="1800" w:header="851" w:footer="992" w:gutter="0"/>
          <w:cols w:space="425" w:num="1"/>
          <w:docGrid w:type="lines" w:linePitch="312" w:charSpace="0"/>
        </w:sectPr>
      </w:pPr>
    </w:p>
    <w:p>
      <w:pPr>
        <w:pStyle w:val="7"/>
        <w:shd w:val="clear" w:color="auto" w:fill="FFFFFF"/>
        <w:spacing w:beforeAutospacing="0" w:afterAutospacing="0" w:line="560" w:lineRule="exact"/>
        <w:ind w:firstLine="640" w:firstLineChars="200"/>
        <w:jc w:val="both"/>
        <w:outlineLvl w:val="0"/>
        <w:rPr>
          <w:rFonts w:hint="eastAsia" w:ascii="黑体" w:hAnsi="黑体" w:eastAsia="黑体" w:cs="黑体"/>
          <w:bCs/>
          <w:color w:val="333333"/>
          <w:sz w:val="32"/>
          <w:szCs w:val="32"/>
          <w:shd w:val="clear" w:color="auto" w:fill="FFFFFF"/>
        </w:rPr>
      </w:pPr>
      <w:r>
        <w:rPr>
          <w:rFonts w:hint="eastAsia" w:ascii="黑体" w:hAnsi="黑体" w:eastAsia="黑体" w:cs="黑体"/>
          <w:bCs/>
          <w:color w:val="333333"/>
          <w:sz w:val="32"/>
          <w:szCs w:val="32"/>
          <w:shd w:val="clear" w:color="auto" w:fill="FFFFFF"/>
        </w:rPr>
        <w:t>二、主动公开政府信息情况</w:t>
      </w:r>
    </w:p>
    <w:tbl>
      <w:tblPr>
        <w:tblStyle w:val="8"/>
        <w:tblW w:w="8140" w:type="dxa"/>
        <w:jc w:val="center"/>
        <w:shd w:val="clear" w:color="auto" w:fill="FFFFFF" w:themeFill="background1"/>
        <w:tblLayout w:type="fixed"/>
        <w:tblCellMar>
          <w:top w:w="0" w:type="dxa"/>
          <w:left w:w="0" w:type="dxa"/>
          <w:bottom w:w="0" w:type="dxa"/>
          <w:right w:w="0" w:type="dxa"/>
        </w:tblCellMar>
      </w:tblPr>
      <w:tblGrid>
        <w:gridCol w:w="2333"/>
        <w:gridCol w:w="2100"/>
        <w:gridCol w:w="1826"/>
        <w:gridCol w:w="1881"/>
      </w:tblGrid>
      <w:tr>
        <w:tblPrEx>
          <w:shd w:val="clear" w:color="auto" w:fill="FFFFFF" w:themeFill="background1"/>
          <w:tblCellMar>
            <w:top w:w="0" w:type="dxa"/>
            <w:left w:w="0" w:type="dxa"/>
            <w:bottom w:w="0" w:type="dxa"/>
            <w:right w:w="0" w:type="dxa"/>
          </w:tblCellMar>
        </w:tblPrEx>
        <w:trPr>
          <w:trHeight w:val="495" w:hRule="atLeast"/>
          <w:jc w:val="center"/>
        </w:trPr>
        <w:tc>
          <w:tcPr>
            <w:tcW w:w="8140" w:type="dxa"/>
            <w:gridSpan w:val="4"/>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第二十条第（一）项</w:t>
            </w:r>
          </w:p>
        </w:tc>
      </w:tr>
      <w:tr>
        <w:tblPrEx>
          <w:tblCellMar>
            <w:top w:w="0" w:type="dxa"/>
            <w:left w:w="0" w:type="dxa"/>
            <w:bottom w:w="0" w:type="dxa"/>
            <w:right w:w="0" w:type="dxa"/>
          </w:tblCellMar>
        </w:tblPrEx>
        <w:trPr>
          <w:trHeight w:val="454"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信息内容</w:t>
            </w:r>
          </w:p>
        </w:tc>
        <w:tc>
          <w:tcPr>
            <w:tcW w:w="2100"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本年新</w:t>
            </w:r>
            <w:r>
              <w:rPr>
                <w:rFonts w:asciiTheme="minorHAnsi" w:hAnsiTheme="minorHAnsi" w:eastAsiaTheme="minorEastAsia" w:cstheme="minorBidi"/>
                <w:color w:val="000000" w:themeColor="text1"/>
                <w:kern w:val="0"/>
                <w:sz w:val="20"/>
                <w:szCs w:val="20"/>
              </w:rPr>
              <w:t>制作数量</w:t>
            </w:r>
          </w:p>
        </w:tc>
        <w:tc>
          <w:tcPr>
            <w:tcW w:w="1826"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本年新</w:t>
            </w:r>
            <w:r>
              <w:rPr>
                <w:rFonts w:asciiTheme="minorHAnsi" w:hAnsiTheme="minorHAnsi" w:eastAsiaTheme="minorEastAsia" w:cstheme="minorBidi"/>
                <w:color w:val="000000" w:themeColor="text1"/>
                <w:kern w:val="0"/>
                <w:sz w:val="20"/>
                <w:szCs w:val="20"/>
              </w:rPr>
              <w:t>公开数量</w:t>
            </w:r>
          </w:p>
        </w:tc>
        <w:tc>
          <w:tcPr>
            <w:tcW w:w="188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对外公开总数量</w:t>
            </w:r>
          </w:p>
        </w:tc>
      </w:tr>
      <w:tr>
        <w:tblPrEx>
          <w:tblCellMar>
            <w:top w:w="0" w:type="dxa"/>
            <w:left w:w="0" w:type="dxa"/>
            <w:bottom w:w="0" w:type="dxa"/>
            <w:right w:w="0" w:type="dxa"/>
          </w:tblCellMar>
        </w:tblPrEx>
        <w:trPr>
          <w:trHeight w:val="523"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规章</w:t>
            </w:r>
          </w:p>
        </w:tc>
        <w:tc>
          <w:tcPr>
            <w:tcW w:w="2100"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1826"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188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r>
      <w:tr>
        <w:tblPrEx>
          <w:tblCellMar>
            <w:top w:w="0" w:type="dxa"/>
            <w:left w:w="0" w:type="dxa"/>
            <w:bottom w:w="0" w:type="dxa"/>
            <w:right w:w="0" w:type="dxa"/>
          </w:tblCellMar>
        </w:tblPrEx>
        <w:trPr>
          <w:trHeight w:val="471"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规范性文件</w:t>
            </w:r>
          </w:p>
        </w:tc>
        <w:tc>
          <w:tcPr>
            <w:tcW w:w="2100"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1826"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188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FF0000"/>
                <w:lang w:val="en-US" w:eastAsia="zh-CN"/>
              </w:rPr>
            </w:pPr>
            <w:r>
              <w:rPr>
                <w:rFonts w:hint="eastAsia"/>
                <w:color w:val="000000" w:themeColor="text1"/>
                <w:lang w:val="en-US" w:eastAsia="zh-CN"/>
              </w:rPr>
              <w:t>0</w:t>
            </w:r>
          </w:p>
        </w:tc>
      </w:tr>
      <w:tr>
        <w:tblPrEx>
          <w:tblCellMar>
            <w:top w:w="0" w:type="dxa"/>
            <w:left w:w="0" w:type="dxa"/>
            <w:bottom w:w="0" w:type="dxa"/>
            <w:right w:w="0" w:type="dxa"/>
          </w:tblCellMar>
        </w:tblPrEx>
        <w:trPr>
          <w:trHeight w:val="480" w:hRule="atLeast"/>
          <w:jc w:val="center"/>
        </w:trPr>
        <w:tc>
          <w:tcPr>
            <w:tcW w:w="8140" w:type="dxa"/>
            <w:gridSpan w:val="4"/>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第二十条第（五）项</w:t>
            </w:r>
          </w:p>
        </w:tc>
      </w:tr>
      <w:tr>
        <w:tblPrEx>
          <w:tblCellMar>
            <w:top w:w="0" w:type="dxa"/>
            <w:left w:w="0" w:type="dxa"/>
            <w:bottom w:w="0" w:type="dxa"/>
            <w:right w:w="0" w:type="dxa"/>
          </w:tblCellMar>
        </w:tblPrEx>
        <w:trPr>
          <w:trHeight w:val="634"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信息内容</w:t>
            </w:r>
          </w:p>
        </w:tc>
        <w:tc>
          <w:tcPr>
            <w:tcW w:w="2100"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上一年项目数量</w:t>
            </w:r>
          </w:p>
        </w:tc>
        <w:tc>
          <w:tcPr>
            <w:tcW w:w="1826"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本年增/减</w:t>
            </w:r>
          </w:p>
        </w:tc>
        <w:tc>
          <w:tcPr>
            <w:tcW w:w="188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处理决定数量</w:t>
            </w:r>
          </w:p>
        </w:tc>
      </w:tr>
      <w:tr>
        <w:tblPrEx>
          <w:tblCellMar>
            <w:top w:w="0" w:type="dxa"/>
            <w:left w:w="0" w:type="dxa"/>
            <w:bottom w:w="0" w:type="dxa"/>
            <w:right w:w="0" w:type="dxa"/>
          </w:tblCellMar>
        </w:tblPrEx>
        <w:trPr>
          <w:trHeight w:val="528"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行政许可</w:t>
            </w:r>
          </w:p>
        </w:tc>
        <w:tc>
          <w:tcPr>
            <w:tcW w:w="2100"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default" w:eastAsia="宋体"/>
                <w:color w:val="000000" w:themeColor="text1"/>
                <w:lang w:val="en-US" w:eastAsia="zh-CN"/>
              </w:rPr>
            </w:pPr>
            <w:r>
              <w:rPr>
                <w:rFonts w:hint="eastAsia" w:ascii="宋体" w:hAnsi="宋体" w:cs="宋体"/>
                <w:color w:val="000000" w:themeColor="text1"/>
                <w:kern w:val="0"/>
                <w:sz w:val="20"/>
                <w:szCs w:val="20"/>
                <w:lang w:val="en-US" w:eastAsia="zh-CN"/>
              </w:rPr>
              <w:t>312</w:t>
            </w:r>
          </w:p>
        </w:tc>
        <w:tc>
          <w:tcPr>
            <w:tcW w:w="1826"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default" w:eastAsia="宋体"/>
                <w:color w:val="000000" w:themeColor="text1"/>
                <w:lang w:val="en-US" w:eastAsia="zh-CN"/>
              </w:rPr>
            </w:pPr>
            <w:r>
              <w:rPr>
                <w:rFonts w:hint="eastAsia"/>
                <w:color w:val="000000" w:themeColor="text1"/>
                <w:lang w:val="en-US" w:eastAsia="zh-CN"/>
              </w:rPr>
              <w:t>减51</w:t>
            </w:r>
          </w:p>
        </w:tc>
        <w:tc>
          <w:tcPr>
            <w:tcW w:w="188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default" w:eastAsia="宋体"/>
                <w:color w:val="000000" w:themeColor="text1"/>
                <w:lang w:val="en-US" w:eastAsia="zh-CN"/>
              </w:rPr>
            </w:pPr>
            <w:r>
              <w:rPr>
                <w:rFonts w:hint="eastAsia"/>
                <w:color w:val="000000" w:themeColor="text1"/>
                <w:lang w:val="en-US" w:eastAsia="zh-CN"/>
              </w:rPr>
              <w:t>261</w:t>
            </w:r>
          </w:p>
        </w:tc>
      </w:tr>
      <w:tr>
        <w:tblPrEx>
          <w:tblCellMar>
            <w:top w:w="0" w:type="dxa"/>
            <w:left w:w="0" w:type="dxa"/>
            <w:bottom w:w="0" w:type="dxa"/>
            <w:right w:w="0" w:type="dxa"/>
          </w:tblCellMar>
        </w:tblPrEx>
        <w:trPr>
          <w:trHeight w:val="550"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其他对外管理服务事项</w:t>
            </w:r>
          </w:p>
        </w:tc>
        <w:tc>
          <w:tcPr>
            <w:tcW w:w="2100"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ascii="宋体" w:hAnsi="宋体" w:cs="宋体"/>
                <w:color w:val="000000" w:themeColor="text1"/>
                <w:kern w:val="0"/>
                <w:sz w:val="20"/>
                <w:szCs w:val="20"/>
                <w:lang w:val="en-US" w:eastAsia="zh-CN"/>
              </w:rPr>
              <w:t>3</w:t>
            </w:r>
          </w:p>
        </w:tc>
        <w:tc>
          <w:tcPr>
            <w:tcW w:w="1826"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增7</w:t>
            </w:r>
          </w:p>
        </w:tc>
        <w:tc>
          <w:tcPr>
            <w:tcW w:w="188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default" w:eastAsia="宋体"/>
                <w:color w:val="000000" w:themeColor="text1"/>
                <w:lang w:val="en-US" w:eastAsia="zh-CN"/>
              </w:rPr>
            </w:pPr>
            <w:r>
              <w:rPr>
                <w:rFonts w:hint="eastAsia"/>
                <w:color w:val="000000" w:themeColor="text1"/>
                <w:lang w:val="en-US" w:eastAsia="zh-CN"/>
              </w:rPr>
              <w:t>10</w:t>
            </w:r>
          </w:p>
        </w:tc>
      </w:tr>
      <w:tr>
        <w:tblPrEx>
          <w:tblCellMar>
            <w:top w:w="0" w:type="dxa"/>
            <w:left w:w="0" w:type="dxa"/>
            <w:bottom w:w="0" w:type="dxa"/>
            <w:right w:w="0" w:type="dxa"/>
          </w:tblCellMar>
        </w:tblPrEx>
        <w:trPr>
          <w:trHeight w:val="406" w:hRule="atLeast"/>
          <w:jc w:val="center"/>
        </w:trPr>
        <w:tc>
          <w:tcPr>
            <w:tcW w:w="8140" w:type="dxa"/>
            <w:gridSpan w:val="4"/>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第二十条第（六）项</w:t>
            </w:r>
          </w:p>
        </w:tc>
      </w:tr>
      <w:tr>
        <w:tblPrEx>
          <w:tblCellMar>
            <w:top w:w="0" w:type="dxa"/>
            <w:left w:w="0" w:type="dxa"/>
            <w:bottom w:w="0" w:type="dxa"/>
            <w:right w:w="0" w:type="dxa"/>
          </w:tblCellMar>
        </w:tblPrEx>
        <w:trPr>
          <w:trHeight w:val="634"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信息内容</w:t>
            </w:r>
          </w:p>
        </w:tc>
        <w:tc>
          <w:tcPr>
            <w:tcW w:w="2100"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上一年项目数量</w:t>
            </w:r>
          </w:p>
        </w:tc>
        <w:tc>
          <w:tcPr>
            <w:tcW w:w="1826"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本年增/减</w:t>
            </w:r>
          </w:p>
        </w:tc>
        <w:tc>
          <w:tcPr>
            <w:tcW w:w="188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处理决定数量</w:t>
            </w:r>
          </w:p>
        </w:tc>
      </w:tr>
      <w:tr>
        <w:tblPrEx>
          <w:tblCellMar>
            <w:top w:w="0" w:type="dxa"/>
            <w:left w:w="0" w:type="dxa"/>
            <w:bottom w:w="0" w:type="dxa"/>
            <w:right w:w="0" w:type="dxa"/>
          </w:tblCellMar>
        </w:tblPrEx>
        <w:trPr>
          <w:trHeight w:val="430"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left"/>
            </w:pPr>
            <w:r>
              <w:rPr>
                <w:rFonts w:hint="eastAsia" w:ascii="宋体" w:hAnsi="宋体" w:cs="宋体"/>
                <w:color w:val="000000"/>
                <w:kern w:val="0"/>
                <w:sz w:val="20"/>
                <w:szCs w:val="20"/>
              </w:rPr>
              <w:t>行政处罚</w:t>
            </w:r>
          </w:p>
        </w:tc>
        <w:tc>
          <w:tcPr>
            <w:tcW w:w="2100"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ascii="宋体" w:hAnsi="宋体" w:cs="宋体"/>
                <w:color w:val="000000" w:themeColor="text1"/>
                <w:kern w:val="0"/>
                <w:sz w:val="20"/>
                <w:szCs w:val="20"/>
                <w:lang w:val="en-US" w:eastAsia="zh-CN"/>
              </w:rPr>
              <w:t>25</w:t>
            </w:r>
          </w:p>
        </w:tc>
        <w:tc>
          <w:tcPr>
            <w:tcW w:w="1826"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ascii="宋体" w:hAnsi="宋体" w:cs="宋体"/>
                <w:color w:val="000000" w:themeColor="text1"/>
                <w:kern w:val="0"/>
                <w:sz w:val="20"/>
                <w:szCs w:val="20"/>
              </w:rPr>
              <w:t>减</w:t>
            </w:r>
            <w:r>
              <w:rPr>
                <w:rFonts w:hint="eastAsia" w:ascii="宋体" w:hAnsi="宋体" w:cs="宋体"/>
                <w:color w:val="000000" w:themeColor="text1"/>
                <w:kern w:val="0"/>
                <w:sz w:val="20"/>
                <w:szCs w:val="20"/>
                <w:lang w:val="en-US" w:eastAsia="zh-CN"/>
              </w:rPr>
              <w:t>8</w:t>
            </w:r>
          </w:p>
        </w:tc>
        <w:tc>
          <w:tcPr>
            <w:tcW w:w="188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ascii="宋体" w:hAnsi="宋体" w:cs="宋体"/>
                <w:color w:val="000000" w:themeColor="text1"/>
                <w:kern w:val="0"/>
                <w:sz w:val="20"/>
                <w:szCs w:val="20"/>
                <w:lang w:val="en-US" w:eastAsia="zh-CN"/>
              </w:rPr>
              <w:t>17</w:t>
            </w:r>
          </w:p>
        </w:tc>
      </w:tr>
      <w:tr>
        <w:tblPrEx>
          <w:tblCellMar>
            <w:top w:w="0" w:type="dxa"/>
            <w:left w:w="0" w:type="dxa"/>
            <w:bottom w:w="0" w:type="dxa"/>
            <w:right w:w="0" w:type="dxa"/>
          </w:tblCellMar>
        </w:tblPrEx>
        <w:trPr>
          <w:trHeight w:val="409"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left"/>
            </w:pPr>
            <w:r>
              <w:rPr>
                <w:rFonts w:hint="eastAsia" w:ascii="宋体" w:hAnsi="宋体" w:cs="宋体"/>
                <w:color w:val="000000"/>
                <w:kern w:val="0"/>
                <w:sz w:val="20"/>
                <w:szCs w:val="20"/>
              </w:rPr>
              <w:t>行政强制</w:t>
            </w:r>
          </w:p>
        </w:tc>
        <w:tc>
          <w:tcPr>
            <w:tcW w:w="2100"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0</w:t>
            </w:r>
          </w:p>
        </w:tc>
        <w:tc>
          <w:tcPr>
            <w:tcW w:w="1826"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lang w:val="en-US" w:eastAsia="zh-CN"/>
              </w:rPr>
            </w:pPr>
            <w:r>
              <w:rPr>
                <w:rFonts w:hint="eastAsia" w:ascii="宋体" w:hAnsi="宋体" w:cs="宋体"/>
                <w:color w:val="000000"/>
                <w:kern w:val="0"/>
                <w:sz w:val="20"/>
                <w:szCs w:val="20"/>
                <w:lang w:val="en-US" w:eastAsia="zh-CN"/>
              </w:rPr>
              <w:t>增1</w:t>
            </w:r>
          </w:p>
        </w:tc>
        <w:tc>
          <w:tcPr>
            <w:tcW w:w="188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rFonts w:hint="eastAsia" w:eastAsia="宋体"/>
                <w:lang w:eastAsia="zh-CN"/>
              </w:rPr>
            </w:pPr>
            <w:r>
              <w:rPr>
                <w:rFonts w:hint="eastAsia" w:ascii="宋体" w:hAnsi="宋体" w:cs="宋体"/>
                <w:color w:val="000000"/>
                <w:kern w:val="0"/>
                <w:sz w:val="20"/>
                <w:szCs w:val="20"/>
                <w:lang w:val="en-US" w:eastAsia="zh-CN"/>
              </w:rPr>
              <w:t>1</w:t>
            </w:r>
          </w:p>
        </w:tc>
      </w:tr>
      <w:tr>
        <w:tblPrEx>
          <w:tblCellMar>
            <w:top w:w="0" w:type="dxa"/>
            <w:left w:w="0" w:type="dxa"/>
            <w:bottom w:w="0" w:type="dxa"/>
            <w:right w:w="0" w:type="dxa"/>
          </w:tblCellMar>
        </w:tblPrEx>
        <w:trPr>
          <w:trHeight w:val="474" w:hRule="atLeast"/>
          <w:jc w:val="center"/>
        </w:trPr>
        <w:tc>
          <w:tcPr>
            <w:tcW w:w="8140" w:type="dxa"/>
            <w:gridSpan w:val="4"/>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第二十条第（八）项</w:t>
            </w:r>
          </w:p>
        </w:tc>
      </w:tr>
      <w:tr>
        <w:tblPrEx>
          <w:tblCellMar>
            <w:top w:w="0" w:type="dxa"/>
            <w:left w:w="0" w:type="dxa"/>
            <w:bottom w:w="0" w:type="dxa"/>
            <w:right w:w="0" w:type="dxa"/>
          </w:tblCellMar>
        </w:tblPrEx>
        <w:trPr>
          <w:trHeight w:val="270"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信息内容</w:t>
            </w:r>
          </w:p>
        </w:tc>
        <w:tc>
          <w:tcPr>
            <w:tcW w:w="2100"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上一年项目数量</w:t>
            </w:r>
          </w:p>
        </w:tc>
        <w:tc>
          <w:tcPr>
            <w:tcW w:w="3707"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本年增/减</w:t>
            </w:r>
          </w:p>
        </w:tc>
      </w:tr>
      <w:tr>
        <w:tblPrEx>
          <w:tblCellMar>
            <w:top w:w="0" w:type="dxa"/>
            <w:left w:w="0" w:type="dxa"/>
            <w:bottom w:w="0" w:type="dxa"/>
            <w:right w:w="0" w:type="dxa"/>
          </w:tblCellMar>
        </w:tblPrEx>
        <w:trPr>
          <w:trHeight w:val="551" w:hRule="atLeast"/>
          <w:jc w:val="center"/>
        </w:trPr>
        <w:tc>
          <w:tcPr>
            <w:tcW w:w="233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left"/>
            </w:pPr>
            <w:r>
              <w:rPr>
                <w:rFonts w:hint="eastAsia" w:ascii="宋体" w:hAnsi="宋体" w:cs="宋体"/>
                <w:color w:val="000000"/>
                <w:kern w:val="0"/>
                <w:sz w:val="20"/>
                <w:szCs w:val="20"/>
              </w:rPr>
              <w:t>行政事业性收费</w:t>
            </w:r>
          </w:p>
        </w:tc>
        <w:tc>
          <w:tcPr>
            <w:tcW w:w="2100"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0</w:t>
            </w:r>
          </w:p>
        </w:tc>
        <w:tc>
          <w:tcPr>
            <w:tcW w:w="3707"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0</w:t>
            </w:r>
          </w:p>
        </w:tc>
      </w:tr>
      <w:tr>
        <w:tblPrEx>
          <w:tblCellMar>
            <w:top w:w="0" w:type="dxa"/>
            <w:left w:w="0" w:type="dxa"/>
            <w:bottom w:w="0" w:type="dxa"/>
            <w:right w:w="0" w:type="dxa"/>
          </w:tblCellMar>
        </w:tblPrEx>
        <w:trPr>
          <w:trHeight w:val="476" w:hRule="atLeast"/>
          <w:jc w:val="center"/>
        </w:trPr>
        <w:tc>
          <w:tcPr>
            <w:tcW w:w="8140" w:type="dxa"/>
            <w:gridSpan w:val="4"/>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第二十条第（九）项</w:t>
            </w:r>
          </w:p>
        </w:tc>
      </w:tr>
      <w:tr>
        <w:tblPrEx>
          <w:tblCellMar>
            <w:top w:w="0" w:type="dxa"/>
            <w:left w:w="0" w:type="dxa"/>
            <w:bottom w:w="0" w:type="dxa"/>
            <w:right w:w="0" w:type="dxa"/>
          </w:tblCellMar>
        </w:tblPrEx>
        <w:trPr>
          <w:trHeight w:val="585" w:hRule="atLeast"/>
          <w:jc w:val="center"/>
        </w:trPr>
        <w:tc>
          <w:tcPr>
            <w:tcW w:w="2333"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信息内容</w:t>
            </w:r>
          </w:p>
        </w:tc>
        <w:tc>
          <w:tcPr>
            <w:tcW w:w="2100"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采购项目数量</w:t>
            </w:r>
          </w:p>
        </w:tc>
        <w:tc>
          <w:tcPr>
            <w:tcW w:w="3707" w:type="dxa"/>
            <w:gridSpan w:val="2"/>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采购总金额</w:t>
            </w:r>
          </w:p>
        </w:tc>
      </w:tr>
      <w:tr>
        <w:tblPrEx>
          <w:tblCellMar>
            <w:top w:w="0" w:type="dxa"/>
            <w:left w:w="0" w:type="dxa"/>
            <w:bottom w:w="0" w:type="dxa"/>
            <w:right w:w="0" w:type="dxa"/>
          </w:tblCellMar>
        </w:tblPrEx>
        <w:trPr>
          <w:trHeight w:val="539" w:hRule="atLeast"/>
          <w:jc w:val="center"/>
        </w:trPr>
        <w:tc>
          <w:tcPr>
            <w:tcW w:w="2333"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政府集中采购</w:t>
            </w:r>
          </w:p>
        </w:tc>
        <w:tc>
          <w:tcPr>
            <w:tcW w:w="2100"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pPr>
              <w:widowControl/>
              <w:spacing w:line="560" w:lineRule="exact"/>
              <w:ind w:firstLine="200"/>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12</w:t>
            </w:r>
          </w:p>
        </w:tc>
        <w:tc>
          <w:tcPr>
            <w:tcW w:w="3707" w:type="dxa"/>
            <w:gridSpan w:val="2"/>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pPr>
              <w:widowControl/>
              <w:spacing w:line="560" w:lineRule="exact"/>
              <w:ind w:firstLine="200"/>
              <w:jc w:val="center"/>
              <w:rPr>
                <w:rFonts w:hint="eastAsia" w:ascii="宋体" w:hAnsi="宋体" w:cs="宋体"/>
                <w:color w:val="000000"/>
                <w:kern w:val="0"/>
                <w:sz w:val="20"/>
                <w:szCs w:val="20"/>
              </w:rPr>
            </w:pPr>
            <w:r>
              <w:rPr>
                <w:rFonts w:hint="eastAsia" w:ascii="宋体" w:hAnsi="宋体" w:cs="宋体"/>
                <w:color w:val="000000"/>
                <w:kern w:val="0"/>
                <w:sz w:val="20"/>
                <w:szCs w:val="20"/>
              </w:rPr>
              <w:t>6032.346</w:t>
            </w:r>
          </w:p>
        </w:tc>
      </w:tr>
    </w:tbl>
    <w:p>
      <w:pPr>
        <w:pStyle w:val="7"/>
        <w:shd w:val="clear" w:color="auto" w:fill="FFFFFF"/>
        <w:spacing w:beforeAutospacing="0" w:afterAutospacing="0" w:line="560" w:lineRule="exact"/>
        <w:ind w:firstLine="200"/>
        <w:jc w:val="both"/>
        <w:rPr>
          <w:bCs/>
          <w:color w:val="333333"/>
          <w:shd w:val="clear" w:color="auto" w:fill="FFFFFF"/>
        </w:rPr>
        <w:sectPr>
          <w:pgSz w:w="11906" w:h="16838"/>
          <w:pgMar w:top="1440" w:right="1800" w:bottom="1440" w:left="1800" w:header="851" w:footer="992" w:gutter="0"/>
          <w:cols w:space="425" w:num="1"/>
          <w:docGrid w:type="lines" w:linePitch="312" w:charSpace="0"/>
        </w:sectPr>
      </w:pPr>
    </w:p>
    <w:p>
      <w:pPr>
        <w:pStyle w:val="7"/>
        <w:shd w:val="clear" w:color="auto" w:fill="FFFFFF"/>
        <w:spacing w:beforeAutospacing="0" w:afterAutospacing="0" w:line="560" w:lineRule="exact"/>
        <w:ind w:firstLine="640" w:firstLineChars="200"/>
        <w:jc w:val="both"/>
        <w:outlineLvl w:val="0"/>
        <w:rPr>
          <w:rFonts w:ascii="方正黑体简体" w:hAnsi="方正黑体简体" w:eastAsia="方正黑体简体" w:cs="方正黑体简体"/>
          <w:color w:val="333333"/>
        </w:rPr>
      </w:pPr>
      <w:r>
        <w:rPr>
          <w:rFonts w:hint="eastAsia" w:ascii="黑体" w:hAnsi="黑体" w:eastAsia="黑体" w:cs="黑体"/>
          <w:bCs/>
          <w:color w:val="333333"/>
          <w:sz w:val="32"/>
          <w:szCs w:val="32"/>
          <w:shd w:val="clear" w:color="auto" w:fill="FFFFFF"/>
        </w:rPr>
        <w:t>三、收到和处理政府信息公开申请情况</w:t>
      </w:r>
    </w:p>
    <w:tbl>
      <w:tblPr>
        <w:tblStyle w:val="8"/>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8"/>
        <w:gridCol w:w="855"/>
        <w:gridCol w:w="2376"/>
        <w:gridCol w:w="527"/>
        <w:gridCol w:w="756"/>
        <w:gridCol w:w="756"/>
        <w:gridCol w:w="815"/>
        <w:gridCol w:w="976"/>
        <w:gridCol w:w="713"/>
        <w:gridCol w:w="67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49"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（本列数据的勾稽关系为：第一项加第二项之和，等于第三项加第四项之和）</w:t>
            </w:r>
          </w:p>
        </w:tc>
        <w:tc>
          <w:tcPr>
            <w:tcW w:w="5222"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49"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527"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both"/>
              <w:rPr>
                <w:color w:val="000000" w:themeColor="text1"/>
              </w:rPr>
            </w:pPr>
            <w:r>
              <w:rPr>
                <w:rFonts w:hint="eastAsia" w:ascii="宋体" w:hAnsi="宋体" w:cs="宋体"/>
                <w:color w:val="000000" w:themeColor="text1"/>
                <w:kern w:val="0"/>
                <w:sz w:val="20"/>
                <w:szCs w:val="20"/>
              </w:rPr>
              <w:t>自然人</w:t>
            </w:r>
          </w:p>
        </w:tc>
        <w:tc>
          <w:tcPr>
            <w:tcW w:w="4016"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法人或其他组织</w:t>
            </w:r>
          </w:p>
        </w:tc>
        <w:tc>
          <w:tcPr>
            <w:tcW w:w="679"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49"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527"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商业企业</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科研机构</w:t>
            </w:r>
          </w:p>
        </w:tc>
        <w:tc>
          <w:tcPr>
            <w:tcW w:w="81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社会公益组织</w:t>
            </w:r>
          </w:p>
        </w:tc>
        <w:tc>
          <w:tcPr>
            <w:tcW w:w="97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法律服务机构</w:t>
            </w:r>
          </w:p>
        </w:tc>
        <w:tc>
          <w:tcPr>
            <w:tcW w:w="71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ascii="宋体" w:hAnsi="宋体" w:cs="宋体"/>
                <w:color w:val="000000" w:themeColor="text1"/>
                <w:kern w:val="0"/>
                <w:sz w:val="20"/>
                <w:szCs w:val="20"/>
              </w:rPr>
              <w:t>其他</w:t>
            </w:r>
          </w:p>
        </w:tc>
        <w:tc>
          <w:tcPr>
            <w:tcW w:w="679"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49"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一、本年新收政府信息公开申请数量</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rPr>
                <w:rFonts w:hint="eastAsia" w:eastAsia="宋体"/>
                <w:color w:val="000000" w:themeColor="text1"/>
                <w:lang w:val="en-US" w:eastAsia="zh-CN"/>
              </w:rPr>
            </w:pPr>
            <w:r>
              <w:rPr>
                <w:rFonts w:hint="eastAsia"/>
                <w:color w:val="000000" w:themeColor="text1"/>
                <w:lang w:val="en-US" w:eastAsia="zh-CN"/>
              </w:rPr>
              <w:t>3</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4</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1</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49"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二、上年结转政府信息公开申请数量</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90" w:hRule="atLeast"/>
          <w:jc w:val="center"/>
        </w:trPr>
        <w:tc>
          <w:tcPr>
            <w:tcW w:w="618"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三、本年度办理结果</w:t>
            </w:r>
          </w:p>
        </w:tc>
        <w:tc>
          <w:tcPr>
            <w:tcW w:w="3231" w:type="dxa"/>
            <w:gridSpan w:val="2"/>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（一）予以公开</w:t>
            </w:r>
            <w:bookmarkStart w:id="0" w:name="_GoBack"/>
            <w:bookmarkEnd w:id="0"/>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2</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3231" w:type="dxa"/>
            <w:gridSpan w:val="2"/>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（二）部分公开（区分处理的，只计这一情形，不计其他情形）</w:t>
            </w:r>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1</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lang w:val="en-US"/>
              </w:rPr>
            </w:pPr>
            <w:r>
              <w:rPr>
                <w:rFonts w:hint="eastAsia" w:cs="Calibri" w:eastAsiaTheme="minorEastAsia"/>
                <w:color w:val="000000" w:themeColor="text1"/>
                <w:kern w:val="0"/>
                <w:sz w:val="20"/>
                <w:szCs w:val="20"/>
                <w:lang w:val="en-US" w:eastAsia="zh-CN"/>
              </w:rPr>
              <w:t xml:space="preserve">1   </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855" w:type="dxa"/>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（三）不予公开</w:t>
            </w:r>
          </w:p>
        </w:tc>
        <w:tc>
          <w:tcPr>
            <w:tcW w:w="23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1.属于国家秘密</w:t>
            </w:r>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85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23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2.其他法律行政法规禁止公开</w:t>
            </w:r>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85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23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3.危及“三安全一稳定”</w:t>
            </w:r>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85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23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4.保护第三方合法权益</w:t>
            </w:r>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1</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85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23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5.属于三类内部事务信息</w:t>
            </w:r>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1</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0</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855"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23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6.属于四类过程性信息</w:t>
            </w:r>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237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7.属于行政执法案卷</w:t>
            </w:r>
          </w:p>
        </w:tc>
        <w:tc>
          <w:tcPr>
            <w:tcW w:w="52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81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23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8.属于行政查询事项</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（四）无法提供</w:t>
            </w:r>
          </w:p>
        </w:tc>
        <w:tc>
          <w:tcPr>
            <w:tcW w:w="23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1.本机关不掌握相关政府信息</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rPr>
                <w:rFonts w:hint="eastAsia" w:eastAsia="宋体"/>
                <w:color w:val="000000" w:themeColor="text1"/>
                <w:lang w:val="en-US" w:eastAsia="zh-CN"/>
              </w:rPr>
            </w:pPr>
            <w:r>
              <w:rPr>
                <w:rFonts w:hint="eastAsia"/>
                <w:color w:val="000000" w:themeColor="text1"/>
                <w:lang w:val="en-US" w:eastAsia="zh-CN"/>
              </w:rPr>
              <w:t>1</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1</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23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2.没有现成信息需要另行制作</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23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3.补正后申请内容仍不明确</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（五）不予处理</w:t>
            </w:r>
          </w:p>
        </w:tc>
        <w:tc>
          <w:tcPr>
            <w:tcW w:w="23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1.信访举报投诉类申请</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23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2.重复申请</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23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3.要求提供公开出版物</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23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4.无正当理由大量反复申请</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23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5.要求行政机关确认或重新出具已获取信息</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firstLineChars="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color w:val="000000" w:themeColor="text1"/>
                <w:sz w:val="24"/>
                <w:szCs w:val="24"/>
              </w:rPr>
            </w:pPr>
          </w:p>
        </w:tc>
        <w:tc>
          <w:tcPr>
            <w:tcW w:w="3231"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（六）其他处理</w:t>
            </w:r>
          </w:p>
        </w:tc>
        <w:tc>
          <w:tcPr>
            <w:tcW w:w="52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81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9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8" w:type="dxa"/>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spacing w:line="560" w:lineRule="exact"/>
              <w:ind w:firstLine="200"/>
              <w:jc w:val="left"/>
              <w:rPr>
                <w:rFonts w:ascii="宋体"/>
                <w:color w:val="000000" w:themeColor="text1"/>
                <w:sz w:val="24"/>
                <w:szCs w:val="24"/>
              </w:rPr>
            </w:pPr>
          </w:p>
        </w:tc>
        <w:tc>
          <w:tcPr>
            <w:tcW w:w="3231" w:type="dxa"/>
            <w:gridSpan w:val="2"/>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楷体" w:hAnsi="楷体" w:eastAsia="楷体" w:cs="楷体"/>
                <w:color w:val="000000" w:themeColor="text1"/>
                <w:kern w:val="0"/>
                <w:sz w:val="20"/>
                <w:szCs w:val="20"/>
              </w:rPr>
              <w:t>（七）总计</w:t>
            </w:r>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rPr>
                <w:rFonts w:hint="eastAsia" w:eastAsiaTheme="minorEastAsia"/>
                <w:color w:val="000000" w:themeColor="text1"/>
                <w:lang w:val="en-US" w:eastAsia="zh-CN"/>
              </w:rPr>
            </w:pPr>
            <w:r>
              <w:rPr>
                <w:rFonts w:hint="eastAsia" w:eastAsiaTheme="minorEastAsia"/>
                <w:color w:val="000000" w:themeColor="text1"/>
                <w:lang w:val="en-US" w:eastAsia="zh-CN"/>
              </w:rPr>
              <w:t>3</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eastAsiaTheme="minorEastAsia"/>
                <w:color w:val="000000" w:themeColor="text1"/>
                <w:lang w:val="en-US" w:eastAsia="zh-CN"/>
              </w:rPr>
              <w:t>4</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宋体"/>
                <w:color w:val="000000" w:themeColor="text1"/>
                <w:lang w:val="en-US" w:eastAsia="zh-CN"/>
              </w:rPr>
            </w:pPr>
            <w:r>
              <w:rPr>
                <w:rFonts w:hint="eastAsia"/>
                <w:color w:val="000000" w:themeColor="text1"/>
                <w:lang w:val="en-US" w:eastAsia="zh-CN"/>
              </w:rPr>
              <w:t>1</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eastAsia="zh-CN"/>
              </w:rPr>
            </w:pPr>
            <w:r>
              <w:rPr>
                <w:rFonts w:hint="eastAsia" w:cs="Calibri" w:eastAsiaTheme="minorEastAsia"/>
                <w:color w:val="000000" w:themeColor="text1"/>
                <w:kern w:val="0"/>
                <w:sz w:val="20"/>
                <w:szCs w:val="20"/>
                <w:lang w:val="en-US" w:eastAsia="zh-CN"/>
              </w:rPr>
              <w:t>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49" w:type="dxa"/>
            <w:gridSpan w:val="3"/>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pPr>
              <w:widowControl/>
              <w:spacing w:line="560" w:lineRule="exact"/>
              <w:ind w:firstLine="200"/>
              <w:jc w:val="left"/>
              <w:rPr>
                <w:color w:val="000000" w:themeColor="text1"/>
              </w:rPr>
            </w:pPr>
            <w:r>
              <w:rPr>
                <w:rFonts w:hint="eastAsia" w:ascii="宋体" w:hAnsi="宋体" w:cs="宋体"/>
                <w:color w:val="000000" w:themeColor="text1"/>
                <w:kern w:val="0"/>
                <w:sz w:val="20"/>
                <w:szCs w:val="20"/>
              </w:rPr>
              <w:t>四、结转下年度继续办理</w:t>
            </w:r>
          </w:p>
        </w:tc>
        <w:tc>
          <w:tcPr>
            <w:tcW w:w="52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75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81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eastAsiaTheme="minorEastAsia"/>
                <w:color w:val="000000" w:themeColor="text1"/>
                <w:lang w:val="en-US" w:eastAsia="zh-CN"/>
              </w:rPr>
            </w:pPr>
            <w:r>
              <w:rPr>
                <w:rFonts w:hint="eastAsia" w:cs="Calibri" w:eastAsiaTheme="minorEastAsia"/>
                <w:color w:val="000000" w:themeColor="text1"/>
                <w:kern w:val="0"/>
                <w:sz w:val="20"/>
                <w:szCs w:val="20"/>
                <w:lang w:val="en-US" w:eastAsia="zh-CN"/>
              </w:rPr>
              <w:t>0</w:t>
            </w:r>
          </w:p>
        </w:tc>
        <w:tc>
          <w:tcPr>
            <w:tcW w:w="97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713"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color w:val="000000" w:themeColor="text1"/>
              </w:rPr>
            </w:pPr>
            <w:r>
              <w:rPr>
                <w:rFonts w:hint="eastAsia" w:cs="Calibri" w:eastAsiaTheme="minorEastAsia"/>
                <w:color w:val="000000" w:themeColor="text1"/>
                <w:kern w:val="0"/>
                <w:sz w:val="20"/>
                <w:szCs w:val="20"/>
                <w:lang w:val="en-US" w:eastAsia="zh-CN"/>
              </w:rPr>
              <w:t>0</w:t>
            </w:r>
          </w:p>
        </w:tc>
        <w:tc>
          <w:tcPr>
            <w:tcW w:w="67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jc w:val="center"/>
              <w:rPr>
                <w:rFonts w:hint="eastAsia" w:ascii="宋体" w:eastAsia="宋体"/>
                <w:color w:val="000000" w:themeColor="text1"/>
                <w:sz w:val="24"/>
                <w:szCs w:val="24"/>
                <w:lang w:val="en-US" w:eastAsia="zh-CN"/>
              </w:rPr>
            </w:pPr>
            <w:r>
              <w:rPr>
                <w:rFonts w:hint="eastAsia" w:ascii="宋体"/>
                <w:color w:val="000000" w:themeColor="text1"/>
                <w:sz w:val="24"/>
                <w:szCs w:val="24"/>
                <w:lang w:val="en-US" w:eastAsia="zh-CN"/>
              </w:rPr>
              <w:t>0</w:t>
            </w:r>
          </w:p>
        </w:tc>
      </w:tr>
    </w:tbl>
    <w:p>
      <w:pPr>
        <w:pStyle w:val="7"/>
        <w:shd w:val="clear" w:color="auto" w:fill="FFFFFF"/>
        <w:spacing w:beforeAutospacing="0" w:afterAutospacing="0" w:line="560" w:lineRule="exact"/>
        <w:ind w:firstLine="200"/>
        <w:jc w:val="both"/>
        <w:rPr>
          <w:color w:val="333333"/>
        </w:rPr>
      </w:pPr>
    </w:p>
    <w:p>
      <w:pPr>
        <w:pStyle w:val="7"/>
        <w:shd w:val="clear" w:color="auto" w:fill="FFFFFF"/>
        <w:spacing w:beforeAutospacing="0" w:afterAutospacing="0" w:line="560" w:lineRule="exact"/>
        <w:ind w:firstLine="200"/>
        <w:jc w:val="both"/>
        <w:rPr>
          <w:color w:val="333333"/>
        </w:rPr>
      </w:pPr>
    </w:p>
    <w:p>
      <w:pPr>
        <w:pStyle w:val="7"/>
        <w:shd w:val="clear" w:color="auto" w:fill="FFFFFF"/>
        <w:spacing w:beforeAutospacing="0" w:afterAutospacing="0" w:line="560" w:lineRule="exact"/>
        <w:jc w:val="both"/>
        <w:rPr>
          <w:color w:val="333333"/>
        </w:rPr>
      </w:pPr>
    </w:p>
    <w:p>
      <w:pPr>
        <w:pStyle w:val="7"/>
        <w:shd w:val="clear" w:color="auto" w:fill="FFFFFF"/>
        <w:spacing w:beforeAutospacing="0" w:afterAutospacing="0" w:line="560" w:lineRule="exact"/>
        <w:ind w:firstLine="640" w:firstLineChars="200"/>
        <w:jc w:val="both"/>
        <w:outlineLvl w:val="0"/>
        <w:rPr>
          <w:rFonts w:ascii="宋体" w:hAnsi="宋体" w:cs="宋体"/>
          <w:color w:val="333333"/>
          <w:szCs w:val="24"/>
        </w:rPr>
      </w:pPr>
      <w:r>
        <w:rPr>
          <w:rFonts w:hint="eastAsia" w:ascii="黑体" w:hAnsi="黑体" w:eastAsia="黑体" w:cs="黑体"/>
          <w:bCs/>
          <w:color w:val="333333"/>
          <w:sz w:val="32"/>
          <w:szCs w:val="32"/>
          <w:shd w:val="clear" w:color="auto" w:fill="FFFFFF"/>
        </w:rPr>
        <w:t>四、政府信息公开行政复议、行政诉讼情况</w:t>
      </w:r>
    </w:p>
    <w:tbl>
      <w:tblPr>
        <w:tblStyle w:val="8"/>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结果维持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尚未审结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总计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sz w:val="24"/>
                <w:szCs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sz w:val="24"/>
                <w:szCs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rPr>
                <w:rFonts w:ascii="宋体"/>
                <w:sz w:val="24"/>
                <w:szCs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其他结果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尚未审结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其他结果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pPr>
            <w:r>
              <w:rPr>
                <w:rFonts w:hint="eastAsia" w:ascii="宋体" w:hAnsi="宋体" w:cs="宋体"/>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cs="Times New Roman" w:eastAsiaTheme="minorEastAsia"/>
                <w:color w:val="000000" w:themeColor="text1"/>
                <w:lang w:val="en-US" w:eastAsia="zh-CN"/>
              </w:rPr>
            </w:pPr>
            <w:r>
              <w:rPr>
                <w:rFonts w:hint="eastAsia" w:ascii="Times New Roman" w:hAnsi="Times New Roman" w:cs="Times New Roman" w:eastAsiaTheme="minorEastAsia"/>
                <w:color w:val="000000" w:themeColor="text1"/>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firstLine="200"/>
              <w:jc w:val="center"/>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ind w:firstLine="200"/>
              <w:jc w:val="center"/>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0</w:t>
            </w:r>
          </w:p>
        </w:tc>
      </w:tr>
    </w:tbl>
    <w:p>
      <w:pPr>
        <w:spacing w:line="560" w:lineRule="exact"/>
        <w:ind w:firstLine="200"/>
        <w:rPr>
          <w:rFonts w:ascii="宋体" w:hAnsi="宋体" w:cs="宋体"/>
          <w:color w:val="333333"/>
          <w:sz w:val="24"/>
          <w:szCs w:val="24"/>
        </w:rPr>
      </w:pPr>
    </w:p>
    <w:p>
      <w:pPr>
        <w:spacing w:line="560" w:lineRule="exact"/>
        <w:ind w:firstLine="640" w:firstLineChars="200"/>
        <w:outlineLvl w:val="0"/>
        <w:rPr>
          <w:rFonts w:ascii="黑体" w:hAnsi="仿宋" w:eastAsia="黑体" w:cs="仿宋"/>
          <w:color w:val="000000"/>
          <w:sz w:val="32"/>
          <w:szCs w:val="32"/>
        </w:rPr>
      </w:pPr>
      <w:r>
        <w:rPr>
          <w:rFonts w:hint="eastAsia" w:ascii="黑体" w:hAnsi="仿宋" w:eastAsia="黑体" w:cs="仿宋"/>
          <w:color w:val="000000"/>
          <w:sz w:val="32"/>
          <w:szCs w:val="32"/>
        </w:rPr>
        <w:t>五、存在的主要问题及改进情况</w:t>
      </w:r>
    </w:p>
    <w:p>
      <w:pPr>
        <w:pStyle w:val="7"/>
        <w:spacing w:beforeAutospacing="0" w:afterAutospacing="0" w:line="560" w:lineRule="exact"/>
        <w:ind w:firstLine="640" w:firstLineChars="200"/>
        <w:jc w:val="both"/>
        <w:rPr>
          <w:rFonts w:ascii="仿宋_GB2312" w:hAnsi="仿宋" w:eastAsia="仿宋_GB2312"/>
          <w:color w:val="000000" w:themeColor="text1"/>
          <w:kern w:val="2"/>
          <w:sz w:val="32"/>
          <w:szCs w:val="32"/>
          <w:lang w:val="en-US"/>
        </w:rPr>
      </w:pPr>
      <w:r>
        <w:rPr>
          <w:rFonts w:hint="eastAsia" w:ascii="仿宋_GB2312" w:hAnsi="仿宋" w:eastAsia="仿宋_GB2312" w:cs="仿宋"/>
          <w:color w:val="000000" w:themeColor="text1"/>
          <w:kern w:val="2"/>
          <w:sz w:val="32"/>
          <w:szCs w:val="32"/>
        </w:rPr>
        <w:t>20</w:t>
      </w:r>
      <w:r>
        <w:rPr>
          <w:rFonts w:hint="eastAsia" w:ascii="仿宋_GB2312" w:hAnsi="仿宋" w:eastAsia="仿宋_GB2312" w:cs="仿宋"/>
          <w:color w:val="000000" w:themeColor="text1"/>
          <w:kern w:val="2"/>
          <w:sz w:val="32"/>
          <w:szCs w:val="32"/>
          <w:lang w:val="en-US" w:eastAsia="zh-CN"/>
        </w:rPr>
        <w:t>20</w:t>
      </w:r>
      <w:r>
        <w:rPr>
          <w:rFonts w:hint="eastAsia" w:ascii="仿宋_GB2312" w:hAnsi="仿宋" w:eastAsia="仿宋_GB2312" w:cs="仿宋"/>
          <w:color w:val="000000" w:themeColor="text1"/>
          <w:kern w:val="2"/>
          <w:sz w:val="32"/>
          <w:szCs w:val="32"/>
        </w:rPr>
        <w:t>年，我局</w:t>
      </w:r>
      <w:r>
        <w:rPr>
          <w:rFonts w:hint="eastAsia" w:ascii="仿宋_GB2312" w:hAnsi="仿宋" w:eastAsia="仿宋_GB2312" w:cs="仿宋"/>
          <w:color w:val="000000" w:themeColor="text1"/>
          <w:kern w:val="2"/>
          <w:sz w:val="32"/>
          <w:szCs w:val="32"/>
          <w:lang w:val="en-US" w:eastAsia="zh-CN"/>
        </w:rPr>
        <w:t>在推进</w:t>
      </w:r>
      <w:r>
        <w:rPr>
          <w:rFonts w:hint="eastAsia" w:ascii="仿宋_GB2312" w:hAnsi="仿宋" w:eastAsia="仿宋_GB2312" w:cs="仿宋"/>
          <w:color w:val="000000" w:themeColor="text1"/>
          <w:kern w:val="2"/>
          <w:sz w:val="32"/>
          <w:szCs w:val="32"/>
        </w:rPr>
        <w:t>政务公开标准化规范化工作体制机制建设</w:t>
      </w:r>
      <w:r>
        <w:rPr>
          <w:rFonts w:hint="eastAsia" w:ascii="仿宋_GB2312" w:hAnsi="仿宋" w:eastAsia="仿宋_GB2312" w:cs="仿宋"/>
          <w:color w:val="000000" w:themeColor="text1"/>
          <w:kern w:val="2"/>
          <w:sz w:val="32"/>
          <w:szCs w:val="32"/>
          <w:lang w:val="en-US" w:eastAsia="zh-CN"/>
        </w:rPr>
        <w:t>方面取得了一定的成效</w:t>
      </w:r>
      <w:r>
        <w:rPr>
          <w:rFonts w:hint="eastAsia" w:ascii="仿宋_GB2312" w:hAnsi="仿宋" w:eastAsia="仿宋_GB2312" w:cs="仿宋"/>
          <w:color w:val="000000" w:themeColor="text1"/>
          <w:kern w:val="2"/>
          <w:sz w:val="32"/>
          <w:szCs w:val="32"/>
        </w:rPr>
        <w:t>，也存在</w:t>
      </w:r>
      <w:r>
        <w:rPr>
          <w:rFonts w:hint="eastAsia" w:ascii="仿宋_GB2312" w:hAnsi="仿宋" w:eastAsia="仿宋_GB2312" w:cs="仿宋"/>
          <w:color w:val="000000" w:themeColor="text1"/>
          <w:kern w:val="2"/>
          <w:sz w:val="32"/>
          <w:szCs w:val="32"/>
          <w:lang w:val="en-US" w:eastAsia="zh-CN"/>
        </w:rPr>
        <w:t>信息公开时效性不够强，部分信息公开制度执行不到位等问题</w:t>
      </w:r>
      <w:r>
        <w:rPr>
          <w:rFonts w:hint="eastAsia" w:ascii="仿宋_GB2312" w:hAnsi="仿宋" w:eastAsia="仿宋_GB2312" w:cs="仿宋"/>
          <w:color w:val="000000" w:themeColor="text1"/>
          <w:kern w:val="2"/>
          <w:sz w:val="32"/>
          <w:szCs w:val="32"/>
        </w:rPr>
        <w:t>。</w:t>
      </w:r>
      <w:r>
        <w:rPr>
          <w:rFonts w:hint="eastAsia" w:ascii="仿宋_GB2312" w:hAnsi="仿宋" w:eastAsia="仿宋_GB2312" w:cs="仿宋"/>
          <w:color w:val="000000" w:themeColor="text1"/>
          <w:kern w:val="2"/>
          <w:sz w:val="32"/>
          <w:szCs w:val="32"/>
          <w:lang w:val="en-US" w:eastAsia="zh-CN"/>
        </w:rPr>
        <w:t>2021年</w:t>
      </w:r>
      <w:r>
        <w:rPr>
          <w:rFonts w:hint="eastAsia" w:ascii="仿宋_GB2312" w:hAnsi="仿宋" w:eastAsia="仿宋_GB2312" w:cs="仿宋"/>
          <w:color w:val="000000" w:themeColor="text1"/>
          <w:kern w:val="2"/>
          <w:sz w:val="32"/>
          <w:szCs w:val="32"/>
        </w:rPr>
        <w:t>，我局</w:t>
      </w:r>
      <w:r>
        <w:rPr>
          <w:rFonts w:hint="eastAsia" w:ascii="仿宋_GB2312" w:hAnsi="仿宋" w:eastAsia="仿宋_GB2312" w:cs="仿宋"/>
          <w:color w:val="000000" w:themeColor="text1"/>
          <w:kern w:val="2"/>
          <w:sz w:val="32"/>
          <w:szCs w:val="32"/>
          <w:lang w:val="en-US" w:eastAsia="zh-CN"/>
        </w:rPr>
        <w:t>将从以下方面做好政务公开工作：一是</w:t>
      </w:r>
      <w:r>
        <w:rPr>
          <w:rFonts w:hint="eastAsia" w:ascii="仿宋_GB2312" w:hAnsi="仿宋" w:eastAsia="仿宋_GB2312" w:cs="仿宋"/>
          <w:color w:val="000000" w:themeColor="text1"/>
          <w:kern w:val="2"/>
          <w:sz w:val="32"/>
          <w:szCs w:val="32"/>
        </w:rPr>
        <w:t>将</w:t>
      </w:r>
      <w:r>
        <w:rPr>
          <w:rFonts w:hint="eastAsia" w:ascii="仿宋_GB2312" w:hAnsi="仿宋" w:eastAsia="仿宋_GB2312" w:cs="仿宋"/>
          <w:color w:val="000000" w:themeColor="text1"/>
          <w:kern w:val="2"/>
          <w:sz w:val="32"/>
          <w:szCs w:val="32"/>
          <w:lang w:val="en-US" w:eastAsia="zh-CN"/>
        </w:rPr>
        <w:t>按照《</w:t>
      </w:r>
      <w:r>
        <w:rPr>
          <w:rFonts w:hint="eastAsia" w:ascii="仿宋_GB2312" w:hAnsi="仿宋" w:eastAsia="仿宋_GB2312" w:cs="仿宋"/>
          <w:color w:val="000000" w:themeColor="text1"/>
          <w:sz w:val="32"/>
          <w:szCs w:val="32"/>
          <w:lang w:val="en-US" w:eastAsia="zh-CN"/>
        </w:rPr>
        <w:t>赣州市生态环境局政府信息公开目录</w:t>
      </w:r>
      <w:r>
        <w:rPr>
          <w:rFonts w:hint="eastAsia" w:ascii="仿宋_GB2312" w:hAnsi="仿宋" w:eastAsia="仿宋_GB2312" w:cs="仿宋"/>
          <w:color w:val="000000" w:themeColor="text1"/>
          <w:kern w:val="2"/>
          <w:sz w:val="32"/>
          <w:szCs w:val="32"/>
          <w:lang w:val="en-US" w:eastAsia="zh-CN"/>
        </w:rPr>
        <w:t>》</w:t>
      </w:r>
      <w:r>
        <w:rPr>
          <w:rFonts w:hint="eastAsia" w:ascii="仿宋_GB2312" w:hAnsi="仿宋" w:eastAsia="仿宋_GB2312" w:cs="仿宋"/>
          <w:b w:val="0"/>
          <w:bCs w:val="0"/>
          <w:color w:val="000000" w:themeColor="text1"/>
          <w:kern w:val="2"/>
          <w:sz w:val="32"/>
          <w:szCs w:val="32"/>
          <w:lang w:val="en-US" w:eastAsia="zh-CN" w:bidi="ar-SA"/>
        </w:rPr>
        <w:t>《赣州市生态环境领域基层政务公开标准目录》等要求</w:t>
      </w:r>
      <w:r>
        <w:rPr>
          <w:rFonts w:hint="eastAsia" w:ascii="仿宋_GB2312" w:hAnsi="仿宋" w:eastAsia="仿宋_GB2312" w:cs="仿宋"/>
          <w:color w:val="000000" w:themeColor="text1"/>
          <w:kern w:val="2"/>
          <w:sz w:val="32"/>
          <w:szCs w:val="32"/>
          <w:lang w:val="en-US" w:eastAsia="zh-CN"/>
        </w:rPr>
        <w:t>做好政府信息主动公开，同时做好政务公开和宣传报道结合文章 ，提升政务公开时效；二是着重抓好重大行政决策事项预公开和政策解读工作，围绕生态环境保护重大部署和重点工作任务，年初制定市生态环境局重大行政决策事项预公开和政策解读工作计划，做到年初有部署、年中有落实、年终有考核；三是建立政务信息管理台账，做到政务信息底数清。</w:t>
      </w:r>
    </w:p>
    <w:p>
      <w:pPr>
        <w:pStyle w:val="7"/>
        <w:spacing w:beforeAutospacing="0" w:afterAutospacing="0" w:line="560" w:lineRule="exact"/>
        <w:ind w:firstLine="640" w:firstLineChars="200"/>
        <w:outlineLvl w:val="0"/>
        <w:rPr>
          <w:rFonts w:ascii="黑体" w:hAnsi="仿宋" w:eastAsia="黑体" w:cs="仿宋"/>
          <w:color w:val="000000" w:themeColor="text1"/>
          <w:sz w:val="32"/>
          <w:szCs w:val="32"/>
        </w:rPr>
      </w:pPr>
      <w:r>
        <w:rPr>
          <w:rFonts w:hint="eastAsia" w:ascii="黑体" w:hAnsi="仿宋" w:eastAsia="黑体" w:cs="仿宋"/>
          <w:color w:val="000000" w:themeColor="text1"/>
          <w:kern w:val="2"/>
          <w:sz w:val="32"/>
          <w:szCs w:val="32"/>
        </w:rPr>
        <w:t>六、其他需要报告的事项</w:t>
      </w:r>
    </w:p>
    <w:p>
      <w:pPr>
        <w:pStyle w:val="7"/>
        <w:spacing w:beforeAutospacing="0" w:afterAutospacing="0" w:line="560" w:lineRule="exact"/>
        <w:ind w:firstLine="640" w:firstLineChars="200"/>
        <w:rPr>
          <w:rFonts w:ascii="仿宋_GB2312" w:hAnsi="仿宋" w:eastAsia="仿宋_GB2312"/>
          <w:color w:val="FF0000"/>
          <w:kern w:val="2"/>
          <w:sz w:val="32"/>
          <w:szCs w:val="32"/>
        </w:rPr>
      </w:pPr>
      <w:r>
        <w:rPr>
          <w:rFonts w:hint="eastAsia" w:ascii="仿宋_GB2312" w:hAnsi="仿宋_GB2312" w:eastAsia="仿宋_GB2312" w:cs="仿宋_GB2312"/>
          <w:color w:val="000000" w:themeColor="text1"/>
          <w:sz w:val="32"/>
          <w:szCs w:val="32"/>
        </w:rPr>
        <w:t>2020年度，我局承办市人大代表建议15件：主办件8件，协办件7件（其中7件为2019年B类件）；我局承办市政协委员提案14件：主办件4件，分办件2件，协办件8件。我局承办的上述市人大代表建议和市政协委员提案已全部办结，</w:t>
      </w:r>
      <w:r>
        <w:rPr>
          <w:rFonts w:hint="eastAsia" w:ascii="仿宋_GB2312" w:hAnsi="仿宋" w:eastAsia="仿宋_GB2312" w:cs="仿宋"/>
          <w:color w:val="000000" w:themeColor="text1"/>
          <w:kern w:val="2"/>
          <w:sz w:val="32"/>
          <w:szCs w:val="32"/>
        </w:rPr>
        <w:t>分别以信函及在人大代表建议平台、政协提案管理平台答复等形式答复了人大代表、政协委员以及主办单位，同时在市政府网站及</w:t>
      </w:r>
      <w:r>
        <w:rPr>
          <w:rFonts w:hint="eastAsia" w:ascii="仿宋_GB2312" w:hAnsi="仿宋" w:eastAsia="仿宋_GB2312" w:cs="仿宋"/>
          <w:color w:val="000000" w:themeColor="text1"/>
          <w:kern w:val="2"/>
          <w:sz w:val="32"/>
          <w:szCs w:val="32"/>
          <w:lang w:val="en-US" w:eastAsia="zh-CN"/>
        </w:rPr>
        <w:t>市生态环境局网站</w:t>
      </w:r>
      <w:r>
        <w:rPr>
          <w:rFonts w:hint="eastAsia" w:ascii="仿宋_GB2312" w:hAnsi="仿宋" w:eastAsia="仿宋_GB2312" w:cs="仿宋"/>
          <w:color w:val="000000" w:themeColor="text1"/>
          <w:kern w:val="2"/>
          <w:sz w:val="32"/>
          <w:szCs w:val="32"/>
        </w:rPr>
        <w:t>公开了人大代表建议和政协提案的答复情况。</w:t>
      </w:r>
    </w:p>
    <w:p>
      <w:pPr>
        <w:pStyle w:val="7"/>
        <w:spacing w:beforeAutospacing="0" w:afterAutospacing="0" w:line="560" w:lineRule="exact"/>
        <w:ind w:firstLine="640" w:firstLineChars="200"/>
        <w:jc w:val="center"/>
        <w:rPr>
          <w:rFonts w:hint="eastAsia" w:ascii="仿宋_GB2312" w:hAnsi="仿宋" w:eastAsia="仿宋_GB2312"/>
          <w:color w:val="000000"/>
          <w:kern w:val="2"/>
          <w:sz w:val="32"/>
          <w:szCs w:val="32"/>
        </w:rPr>
      </w:pPr>
      <w:r>
        <w:rPr>
          <w:rFonts w:hint="eastAsia" w:ascii="仿宋_GB2312" w:hAnsi="仿宋" w:eastAsia="仿宋_GB2312"/>
          <w:color w:val="000000"/>
          <w:kern w:val="2"/>
          <w:sz w:val="32"/>
          <w:szCs w:val="32"/>
        </w:rPr>
        <w:t xml:space="preserve">                </w:t>
      </w:r>
    </w:p>
    <w:p>
      <w:pPr>
        <w:pStyle w:val="7"/>
        <w:spacing w:beforeAutospacing="0" w:afterAutospacing="0" w:line="560" w:lineRule="exact"/>
        <w:ind w:firstLine="640" w:firstLineChars="200"/>
        <w:jc w:val="both"/>
        <w:rPr>
          <w:rFonts w:hint="eastAsia" w:ascii="仿宋_GB2312" w:hAnsi="仿宋" w:eastAsia="仿宋_GB2312"/>
          <w:color w:val="000000"/>
          <w:kern w:val="2"/>
          <w:sz w:val="32"/>
          <w:szCs w:val="32"/>
        </w:rPr>
      </w:pPr>
    </w:p>
    <w:p>
      <w:pPr>
        <w:pStyle w:val="7"/>
        <w:spacing w:beforeAutospacing="0" w:afterAutospacing="0" w:line="560" w:lineRule="exact"/>
        <w:ind w:firstLine="640" w:firstLineChars="200"/>
        <w:jc w:val="right"/>
        <w:rPr>
          <w:rFonts w:ascii="仿宋_GB2312" w:hAnsi="仿宋" w:eastAsia="仿宋_GB2312"/>
          <w:color w:val="000000"/>
          <w:kern w:val="2"/>
          <w:sz w:val="32"/>
          <w:szCs w:val="32"/>
        </w:rPr>
      </w:pPr>
      <w:r>
        <w:rPr>
          <w:rFonts w:hint="eastAsia" w:ascii="仿宋_GB2312" w:hAnsi="仿宋" w:eastAsia="仿宋_GB2312"/>
          <w:color w:val="000000"/>
          <w:kern w:val="2"/>
          <w:sz w:val="32"/>
          <w:szCs w:val="32"/>
        </w:rPr>
        <w:t xml:space="preserve">                   赣州市生态环境局</w:t>
      </w:r>
    </w:p>
    <w:p>
      <w:pPr>
        <w:pStyle w:val="7"/>
        <w:spacing w:beforeAutospacing="0" w:afterAutospacing="0" w:line="560" w:lineRule="exact"/>
        <w:ind w:firstLine="640" w:firstLineChars="200"/>
        <w:jc w:val="right"/>
        <w:rPr>
          <w:rFonts w:ascii="仿宋_GB2312" w:hAnsi="仿宋" w:eastAsia="仿宋_GB2312"/>
          <w:color w:val="000000"/>
          <w:kern w:val="2"/>
          <w:sz w:val="32"/>
          <w:szCs w:val="32"/>
        </w:rPr>
      </w:pPr>
      <w:r>
        <w:rPr>
          <w:rFonts w:hint="eastAsia" w:ascii="仿宋_GB2312" w:hAnsi="仿宋" w:eastAsia="仿宋_GB2312"/>
          <w:color w:val="000000"/>
          <w:kern w:val="2"/>
          <w:sz w:val="32"/>
          <w:szCs w:val="32"/>
        </w:rPr>
        <w:t xml:space="preserve">                    202</w:t>
      </w:r>
      <w:r>
        <w:rPr>
          <w:rFonts w:hint="eastAsia" w:ascii="仿宋_GB2312" w:hAnsi="仿宋" w:eastAsia="仿宋_GB2312"/>
          <w:color w:val="000000"/>
          <w:kern w:val="2"/>
          <w:sz w:val="32"/>
          <w:szCs w:val="32"/>
          <w:lang w:val="en-US" w:eastAsia="zh-CN"/>
        </w:rPr>
        <w:t>1</w:t>
      </w:r>
      <w:r>
        <w:rPr>
          <w:rFonts w:hint="eastAsia" w:ascii="仿宋_GB2312" w:hAnsi="仿宋" w:eastAsia="仿宋_GB2312"/>
          <w:color w:val="000000"/>
          <w:kern w:val="2"/>
          <w:sz w:val="32"/>
          <w:szCs w:val="32"/>
        </w:rPr>
        <w:t>年1月</w:t>
      </w:r>
      <w:r>
        <w:rPr>
          <w:rFonts w:hint="eastAsia" w:ascii="仿宋_GB2312" w:hAnsi="仿宋" w:eastAsia="仿宋_GB2312"/>
          <w:color w:val="000000"/>
          <w:kern w:val="2"/>
          <w:sz w:val="32"/>
          <w:szCs w:val="32"/>
          <w:lang w:val="en-US" w:eastAsia="zh-CN"/>
        </w:rPr>
        <w:t>25</w:t>
      </w:r>
      <w:r>
        <w:rPr>
          <w:rFonts w:hint="eastAsia" w:ascii="仿宋_GB2312" w:hAnsi="仿宋" w:eastAsia="仿宋_GB2312"/>
          <w:color w:val="000000"/>
          <w:kern w:val="2"/>
          <w:sz w:val="32"/>
          <w:szCs w:val="32"/>
        </w:rPr>
        <w:t>日</w:t>
      </w:r>
    </w:p>
    <w:p>
      <w:pPr>
        <w:spacing w:line="560" w:lineRule="exact"/>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黑体"/>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黑体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NzT&#10;xD62AQAAVAMAAA4AAAAAAAAAAQAgAAAAHgEAAGRycy9lMm9Eb2MueG1sUEsFBgAAAAAGAAYAWQEA&#10;AEYFAAAAAA==&#10;">
          <v:path/>
          <v:fill on="f" focussize="0,0"/>
          <v:stroke on="f" joinstyle="miter"/>
          <v:imagedata o:title=""/>
          <o:lock v:ext="edit"/>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A6B13"/>
    <w:rsid w:val="00134E71"/>
    <w:rsid w:val="001925BE"/>
    <w:rsid w:val="00204093"/>
    <w:rsid w:val="002F2847"/>
    <w:rsid w:val="003C4B78"/>
    <w:rsid w:val="003D6C73"/>
    <w:rsid w:val="004365C5"/>
    <w:rsid w:val="004C3FFD"/>
    <w:rsid w:val="005F476E"/>
    <w:rsid w:val="006349B3"/>
    <w:rsid w:val="00656549"/>
    <w:rsid w:val="00660EA9"/>
    <w:rsid w:val="006A2059"/>
    <w:rsid w:val="008A6B13"/>
    <w:rsid w:val="00981D60"/>
    <w:rsid w:val="00AB0925"/>
    <w:rsid w:val="00B54B8A"/>
    <w:rsid w:val="00C643BF"/>
    <w:rsid w:val="00D624E2"/>
    <w:rsid w:val="00DD5552"/>
    <w:rsid w:val="00FF4CE9"/>
    <w:rsid w:val="024F387E"/>
    <w:rsid w:val="029C5A9C"/>
    <w:rsid w:val="04E7550F"/>
    <w:rsid w:val="05CA5B46"/>
    <w:rsid w:val="08DF1E67"/>
    <w:rsid w:val="08E26667"/>
    <w:rsid w:val="08ED31A4"/>
    <w:rsid w:val="09CD106D"/>
    <w:rsid w:val="09FD1025"/>
    <w:rsid w:val="0AA6368F"/>
    <w:rsid w:val="0AFE7E39"/>
    <w:rsid w:val="0B301016"/>
    <w:rsid w:val="0D830971"/>
    <w:rsid w:val="0D8D729F"/>
    <w:rsid w:val="0F3F2138"/>
    <w:rsid w:val="0F8752E9"/>
    <w:rsid w:val="12001F0F"/>
    <w:rsid w:val="126312CD"/>
    <w:rsid w:val="12702359"/>
    <w:rsid w:val="12997429"/>
    <w:rsid w:val="13802E2A"/>
    <w:rsid w:val="13833E22"/>
    <w:rsid w:val="14167BB0"/>
    <w:rsid w:val="15350D4F"/>
    <w:rsid w:val="16D46FCB"/>
    <w:rsid w:val="17A739A0"/>
    <w:rsid w:val="17EC0C40"/>
    <w:rsid w:val="1854292F"/>
    <w:rsid w:val="19235D02"/>
    <w:rsid w:val="1C9754C5"/>
    <w:rsid w:val="1D1E6195"/>
    <w:rsid w:val="1F0777B4"/>
    <w:rsid w:val="1F125AE4"/>
    <w:rsid w:val="1FF48BA1"/>
    <w:rsid w:val="20CE78BB"/>
    <w:rsid w:val="21146EEB"/>
    <w:rsid w:val="21EE766E"/>
    <w:rsid w:val="22C82016"/>
    <w:rsid w:val="23C96EF9"/>
    <w:rsid w:val="250326BD"/>
    <w:rsid w:val="282E49A5"/>
    <w:rsid w:val="28CF152D"/>
    <w:rsid w:val="29FC4E1C"/>
    <w:rsid w:val="2BE40A11"/>
    <w:rsid w:val="2CD63760"/>
    <w:rsid w:val="2DD83149"/>
    <w:rsid w:val="2E380E1F"/>
    <w:rsid w:val="2E87262B"/>
    <w:rsid w:val="2ECA737E"/>
    <w:rsid w:val="2F8A536C"/>
    <w:rsid w:val="2FBD0D7B"/>
    <w:rsid w:val="300A2261"/>
    <w:rsid w:val="307B0568"/>
    <w:rsid w:val="330C093D"/>
    <w:rsid w:val="3388102E"/>
    <w:rsid w:val="33D26EDC"/>
    <w:rsid w:val="353D63C5"/>
    <w:rsid w:val="35E42C64"/>
    <w:rsid w:val="38951DCA"/>
    <w:rsid w:val="38961A59"/>
    <w:rsid w:val="39F963E1"/>
    <w:rsid w:val="3B5541CC"/>
    <w:rsid w:val="3D3432D6"/>
    <w:rsid w:val="3D3F1B02"/>
    <w:rsid w:val="3DE65684"/>
    <w:rsid w:val="3E4844B9"/>
    <w:rsid w:val="3F3D2D72"/>
    <w:rsid w:val="43866FB1"/>
    <w:rsid w:val="43CF5459"/>
    <w:rsid w:val="453B715A"/>
    <w:rsid w:val="48495097"/>
    <w:rsid w:val="488053A4"/>
    <w:rsid w:val="4AFD278B"/>
    <w:rsid w:val="4B3A3827"/>
    <w:rsid w:val="4CC06B83"/>
    <w:rsid w:val="4D095159"/>
    <w:rsid w:val="4D9A2DF2"/>
    <w:rsid w:val="4DBE103F"/>
    <w:rsid w:val="52757CC3"/>
    <w:rsid w:val="53403C25"/>
    <w:rsid w:val="536F67CD"/>
    <w:rsid w:val="544564AB"/>
    <w:rsid w:val="562103C2"/>
    <w:rsid w:val="571C3C0F"/>
    <w:rsid w:val="58AE37F7"/>
    <w:rsid w:val="5AD16FF6"/>
    <w:rsid w:val="60FC455F"/>
    <w:rsid w:val="62790A13"/>
    <w:rsid w:val="64404403"/>
    <w:rsid w:val="64C3581F"/>
    <w:rsid w:val="656F0E28"/>
    <w:rsid w:val="66253995"/>
    <w:rsid w:val="66A40B55"/>
    <w:rsid w:val="6736173C"/>
    <w:rsid w:val="6A3A3CA3"/>
    <w:rsid w:val="6C9954B4"/>
    <w:rsid w:val="6CEC51D0"/>
    <w:rsid w:val="6D607BBD"/>
    <w:rsid w:val="6D7C55B3"/>
    <w:rsid w:val="6E1C6470"/>
    <w:rsid w:val="6FDD2C2D"/>
    <w:rsid w:val="70E11F0F"/>
    <w:rsid w:val="70FE66AE"/>
    <w:rsid w:val="728923BF"/>
    <w:rsid w:val="72BD6383"/>
    <w:rsid w:val="72F33440"/>
    <w:rsid w:val="72FB7B8B"/>
    <w:rsid w:val="73E065B4"/>
    <w:rsid w:val="73F87AA5"/>
    <w:rsid w:val="75477607"/>
    <w:rsid w:val="757F090E"/>
    <w:rsid w:val="76051CF0"/>
    <w:rsid w:val="774305F7"/>
    <w:rsid w:val="79677A83"/>
    <w:rsid w:val="7D1E72F1"/>
    <w:rsid w:val="7D4D049C"/>
    <w:rsid w:val="7D6954E2"/>
    <w:rsid w:val="7E911E6C"/>
    <w:rsid w:val="9FDA720E"/>
    <w:rsid w:val="F73F3FD6"/>
    <w:rsid w:val="FFADB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2">
    <w:name w:val="heading 2"/>
    <w:basedOn w:val="1"/>
    <w:next w:val="1"/>
    <w:qFormat/>
    <w:uiPriority w:val="0"/>
    <w:pPr>
      <w:keepNext/>
      <w:keepLines/>
      <w:spacing w:before="260" w:after="260" w:line="416" w:lineRule="auto"/>
      <w:outlineLvl w:val="1"/>
    </w:pPr>
    <w:rPr>
      <w:rFonts w:ascii="Cambria" w:hAnsi="Cambria"/>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Times New Roman" w:hAnsi="Times New Roman"/>
      <w:kern w:val="0"/>
      <w:sz w:val="32"/>
      <w:szCs w:val="32"/>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Emphasis"/>
    <w:basedOn w:val="10"/>
    <w:qFormat/>
    <w:uiPriority w:val="0"/>
    <w:rPr>
      <w:i/>
    </w:rPr>
  </w:style>
  <w:style w:type="character" w:styleId="14">
    <w:name w:val="Hyperlink"/>
    <w:basedOn w:val="10"/>
    <w:qFormat/>
    <w:uiPriority w:val="0"/>
    <w:rPr>
      <w:color w:val="333333"/>
      <w:u w:val="none"/>
    </w:rPr>
  </w:style>
  <w:style w:type="character" w:customStyle="1" w:styleId="15">
    <w:name w:val="bi_aqiarea_wuran"/>
    <w:basedOn w:val="10"/>
    <w:qFormat/>
    <w:uiPriority w:val="0"/>
    <w:rPr>
      <w:color w:val="FFFFFF"/>
    </w:rPr>
  </w:style>
  <w:style w:type="character" w:customStyle="1" w:styleId="16">
    <w:name w:val="wuranlevel_1"/>
    <w:basedOn w:val="10"/>
    <w:qFormat/>
    <w:uiPriority w:val="0"/>
    <w:rPr>
      <w:shd w:val="clear" w:color="auto" w:fill="6EB720"/>
    </w:rPr>
  </w:style>
  <w:style w:type="character" w:customStyle="1" w:styleId="17">
    <w:name w:val="wuranlevel_2"/>
    <w:basedOn w:val="10"/>
    <w:qFormat/>
    <w:uiPriority w:val="0"/>
    <w:rPr>
      <w:shd w:val="clear" w:color="auto" w:fill="D6C60F"/>
    </w:rPr>
  </w:style>
  <w:style w:type="character" w:customStyle="1" w:styleId="18">
    <w:name w:val="wuranlevel_3"/>
    <w:basedOn w:val="10"/>
    <w:qFormat/>
    <w:uiPriority w:val="0"/>
    <w:rPr>
      <w:shd w:val="clear" w:color="auto" w:fill="EC7E22"/>
    </w:rPr>
  </w:style>
  <w:style w:type="character" w:customStyle="1" w:styleId="19">
    <w:name w:val="wuranlevel_4"/>
    <w:basedOn w:val="10"/>
    <w:qFormat/>
    <w:uiPriority w:val="0"/>
    <w:rPr>
      <w:shd w:val="clear" w:color="auto" w:fill="CE3333"/>
    </w:rPr>
  </w:style>
  <w:style w:type="character" w:customStyle="1" w:styleId="20">
    <w:name w:val="wuranlevel_5"/>
    <w:basedOn w:val="10"/>
    <w:qFormat/>
    <w:uiPriority w:val="0"/>
    <w:rPr>
      <w:shd w:val="clear" w:color="auto" w:fill="A61D71"/>
    </w:rPr>
  </w:style>
  <w:style w:type="character" w:customStyle="1" w:styleId="21">
    <w:name w:val="wuranlevel_6"/>
    <w:basedOn w:val="10"/>
    <w:qFormat/>
    <w:uiPriority w:val="0"/>
    <w:rPr>
      <w:shd w:val="clear" w:color="auto" w:fill="420045"/>
    </w:rPr>
  </w:style>
  <w:style w:type="character" w:customStyle="1" w:styleId="22">
    <w:name w:val="bi_aqiarea_tips"/>
    <w:basedOn w:val="10"/>
    <w:qFormat/>
    <w:uiPriority w:val="0"/>
    <w:rPr>
      <w:color w:val="666666"/>
    </w:rPr>
  </w:style>
  <w:style w:type="character" w:customStyle="1" w:styleId="23">
    <w:name w:val="页眉 Char"/>
    <w:basedOn w:val="10"/>
    <w:link w:val="6"/>
    <w:qFormat/>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32593;&#31449;&#31649;&#29702;-&#25143;&#22806;&#26174;&#31034;&#23631;\&#20004;&#24494;&#31649;&#29702;\&#25968;&#37327;&#32479;&#3574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b="1">
                <a:solidFill>
                  <a:srgbClr val="0070C0"/>
                </a:solidFill>
              </a:rPr>
              <a:t>各平台发布信息数（条）</a:t>
            </a:r>
            <a:endParaRPr sz="1200" b="1">
              <a:solidFill>
                <a:srgbClr val="0070C0"/>
              </a:solidFill>
            </a:endParaRPr>
          </a:p>
        </c:rich>
      </c:tx>
      <c:layout/>
      <c:overlay val="0"/>
      <c:spPr>
        <a:noFill/>
        <a:ln>
          <a:noFill/>
        </a:ln>
        <a:effectLst/>
      </c:spPr>
    </c:title>
    <c:autoTitleDeleted val="0"/>
    <c:plotArea>
      <c:layout/>
      <c:pieChart>
        <c:varyColors val="1"/>
        <c:ser>
          <c:idx val="0"/>
          <c:order val="0"/>
          <c:spPr/>
          <c:explosion val="0"/>
          <c:dPt>
            <c:idx val="0"/>
            <c:bubble3D val="0"/>
            <c:spPr>
              <a:solidFill>
                <a:srgbClr val="C00000"/>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layout>
                <c:manualLayout>
                  <c:x val="-0.0443297044902721"/>
                  <c:y val="0.13901797904311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22804715724611"/>
                  <c:y val="0.067725859352078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931240420405325"/>
                  <c:y val="-0.2217752430274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4185475943495"/>
                  <c:y val="0.18547418970288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[数量统计.xls]微信2020!$A$49:$A$53</c:f>
              <c:strCache>
                <c:ptCount val="5"/>
                <c:pt idx="0">
                  <c:v>赣州市生态环境局网站</c:v>
                </c:pt>
                <c:pt idx="1">
                  <c:v>赣州市人民政府网站</c:v>
                </c:pt>
                <c:pt idx="2">
                  <c:v>江西省生态环境厅网站</c:v>
                </c:pt>
                <c:pt idx="3">
                  <c:v>赣州市生态环境局官方微博</c:v>
                </c:pt>
                <c:pt idx="4">
                  <c:v>赣州环保微信公众号</c:v>
                </c:pt>
              </c:strCache>
            </c:strRef>
          </c:cat>
          <c:val>
            <c:numRef>
              <c:f>[数量统计.xls]微信2020!$B$49:$B$53</c:f>
              <c:numCache>
                <c:formatCode>General</c:formatCode>
                <c:ptCount val="5"/>
                <c:pt idx="0">
                  <c:v>1178</c:v>
                </c:pt>
                <c:pt idx="1">
                  <c:v>357</c:v>
                </c:pt>
                <c:pt idx="2">
                  <c:v>43</c:v>
                </c:pt>
                <c:pt idx="3">
                  <c:v>6029</c:v>
                </c:pt>
                <c:pt idx="4">
                  <c:v>1355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575</Words>
  <Characters>3281</Characters>
  <Lines>27</Lines>
  <Paragraphs>7</Paragraphs>
  <TotalTime>53</TotalTime>
  <ScaleCrop>false</ScaleCrop>
  <LinksUpToDate>false</LinksUpToDate>
  <CharactersWithSpaces>3849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Administrator</cp:lastModifiedBy>
  <cp:lastPrinted>2021-01-26T10:56:00Z</cp:lastPrinted>
  <dcterms:modified xsi:type="dcterms:W3CDTF">2021-05-11T22:40:59Z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