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赣州市生态环境局</w:t>
      </w:r>
    </w:p>
    <w:p>
      <w:pPr>
        <w:spacing w:line="560" w:lineRule="exact"/>
        <w:ind w:firstLine="880" w:firstLineChars="200"/>
        <w:jc w:val="center"/>
        <w:outlineLvl w:val="0"/>
        <w:rPr>
          <w:color w:val="000000" w:themeColor="text1"/>
        </w:rPr>
      </w:pPr>
      <w:r>
        <w:rPr>
          <w:rFonts w:hint="eastAsia" w:ascii="方正小标宋简体" w:hAnsi="方正小标宋简体" w:eastAsia="方正小标宋简体" w:cs="方正小标宋简体"/>
          <w:color w:val="000000"/>
          <w:sz w:val="44"/>
          <w:szCs w:val="44"/>
        </w:rPr>
        <w:t>2019年政府信息公开</w:t>
      </w:r>
      <w:r>
        <w:rPr>
          <w:rFonts w:hint="eastAsia" w:ascii="方正小标宋简体" w:hAnsi="方正小标宋简体" w:eastAsia="方正小标宋简体" w:cs="方正小标宋简体"/>
          <w:color w:val="000000"/>
          <w:sz w:val="44"/>
          <w:szCs w:val="44"/>
          <w:lang w:val="en-US" w:eastAsia="zh-CN"/>
        </w:rPr>
        <w:t>工作</w:t>
      </w:r>
      <w:r>
        <w:rPr>
          <w:rFonts w:hint="eastAsia" w:ascii="方正小标宋简体" w:hAnsi="方正小标宋简体" w:eastAsia="方正小标宋简体" w:cs="方正小标宋简体"/>
          <w:color w:val="000000"/>
          <w:sz w:val="44"/>
          <w:szCs w:val="44"/>
        </w:rPr>
        <w:t>年度报告</w:t>
      </w:r>
    </w:p>
    <w:p>
      <w:pPr>
        <w:spacing w:line="560" w:lineRule="exact"/>
        <w:ind w:firstLine="640" w:firstLineChars="200"/>
        <w:rPr>
          <w:rFonts w:ascii="黑体" w:hAnsi="仿宋" w:eastAsia="黑体" w:cs="仿宋"/>
          <w:color w:val="000000" w:themeColor="text1"/>
          <w:sz w:val="32"/>
          <w:szCs w:val="32"/>
        </w:rPr>
      </w:pPr>
    </w:p>
    <w:p>
      <w:pPr>
        <w:spacing w:line="560" w:lineRule="exact"/>
        <w:ind w:firstLine="640" w:firstLineChars="200"/>
        <w:jc w:val="both"/>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根据《中华人民共和国政府信息公开条例》，特编制2019年度赣州市生态环境局政府信息公开</w:t>
      </w:r>
      <w:r>
        <w:rPr>
          <w:rFonts w:hint="eastAsia" w:ascii="仿宋_GB2312" w:hAnsi="仿宋" w:eastAsia="仿宋_GB2312" w:cs="仿宋"/>
          <w:color w:val="000000" w:themeColor="text1"/>
          <w:sz w:val="32"/>
          <w:szCs w:val="32"/>
          <w:lang w:val="en-US" w:eastAsia="zh-CN"/>
        </w:rPr>
        <w:t>工作</w:t>
      </w:r>
      <w:r>
        <w:rPr>
          <w:rFonts w:hint="eastAsia" w:ascii="仿宋_GB2312" w:hAnsi="仿宋" w:eastAsia="仿宋_GB2312" w:cs="仿宋"/>
          <w:color w:val="000000" w:themeColor="text1"/>
          <w:sz w:val="32"/>
          <w:szCs w:val="32"/>
        </w:rPr>
        <w:t>年度报告。本报告由总体情况、主动公开政府信息情况、收到和处理政府信息公开申请情况、政府信息公开行政复议和行政诉讼情况、存在的主要问题及改进情况、其他需要报告的事项六个部分组成。</w:t>
      </w:r>
    </w:p>
    <w:p>
      <w:pPr>
        <w:spacing w:line="560" w:lineRule="exact"/>
        <w:ind w:firstLine="640" w:firstLineChars="200"/>
        <w:jc w:val="both"/>
        <w:rPr>
          <w:rFonts w:ascii="黑体" w:hAnsi="仿宋" w:eastAsia="黑体" w:cs="仿宋"/>
          <w:color w:val="FF0000"/>
          <w:sz w:val="32"/>
          <w:szCs w:val="32"/>
        </w:rPr>
      </w:pPr>
      <w:r>
        <w:rPr>
          <w:rFonts w:hint="eastAsia" w:ascii="仿宋_GB2312" w:hAnsi="仿宋" w:eastAsia="仿宋_GB2312" w:cs="仿宋"/>
          <w:color w:val="000000" w:themeColor="text1"/>
          <w:sz w:val="32"/>
          <w:szCs w:val="32"/>
        </w:rPr>
        <w:t>本报告中所列数据统计期限从2019年1月1日至2019年12月31日止。本报告将在赣州市人民政府网站“政府信息公开专栏”下“市政府各部门信息公开&gt; 赣州市生态环境局&gt; 部门年度报告”、赣州市生态环境局网站“政府信息公开”下“信息公开 &gt;部门公开信息 &gt;年度报告”栏目全文公布。</w:t>
      </w:r>
    </w:p>
    <w:p>
      <w:pPr>
        <w:spacing w:line="560" w:lineRule="exact"/>
        <w:ind w:firstLine="640" w:firstLineChars="200"/>
        <w:outlineLvl w:val="0"/>
        <w:rPr>
          <w:rFonts w:ascii="仿宋_GB2312" w:hAnsi="仿宋" w:eastAsia="仿宋_GB2312" w:cs="仿宋"/>
          <w:color w:val="000000" w:themeColor="text1"/>
          <w:sz w:val="32"/>
          <w:szCs w:val="32"/>
        </w:rPr>
      </w:pPr>
      <w:r>
        <w:rPr>
          <w:rFonts w:hint="eastAsia" w:ascii="黑体" w:hAnsi="仿宋" w:eastAsia="黑体" w:cs="仿宋"/>
          <w:color w:val="000000" w:themeColor="text1"/>
          <w:sz w:val="32"/>
          <w:szCs w:val="32"/>
        </w:rPr>
        <w:t>一、总体情况</w:t>
      </w:r>
    </w:p>
    <w:p>
      <w:pPr>
        <w:spacing w:line="560" w:lineRule="exact"/>
        <w:ind w:firstLine="640" w:firstLineChars="200"/>
        <w:jc w:val="left"/>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2019年，我局按照《中华人民共和国政府信息公开条例》和《赣州市政府信息公开规定》要求，认真贯彻落实国务院、省、市政府关于政府信息公开有关文件精神，紧紧围绕我市生态环境保护中心工作，扎实推进政务信息公开，不断增强信息公开实效，切实保障了公民对生态环境的知情权、参与权和监督权。</w:t>
      </w:r>
    </w:p>
    <w:p>
      <w:pPr>
        <w:adjustRightInd w:val="0"/>
        <w:snapToGrid w:val="0"/>
        <w:spacing w:line="560" w:lineRule="exact"/>
        <w:ind w:firstLine="640" w:firstLineChars="200"/>
        <w:jc w:val="left"/>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2019年度，我局主动公开政府信息847条；累计在各平台公开政府信息37</w:t>
      </w:r>
      <w:r>
        <w:rPr>
          <w:rFonts w:hint="eastAsia" w:ascii="仿宋_GB2312" w:hAnsi="仿宋" w:eastAsia="仿宋_GB2312" w:cs="仿宋"/>
          <w:color w:val="000000" w:themeColor="text1"/>
          <w:sz w:val="32"/>
          <w:szCs w:val="32"/>
          <w:lang w:val="en-US" w:eastAsia="zh-CN"/>
        </w:rPr>
        <w:t>5</w:t>
      </w:r>
      <w:r>
        <w:rPr>
          <w:rFonts w:hint="eastAsia" w:ascii="仿宋_GB2312" w:hAnsi="仿宋" w:eastAsia="仿宋_GB2312" w:cs="仿宋"/>
          <w:color w:val="000000" w:themeColor="text1"/>
          <w:sz w:val="32"/>
          <w:szCs w:val="32"/>
        </w:rPr>
        <w:t>3条，其中：赣州市生态环境局网站847条，赣州市人民政府网站577条，江西省生态环境厅网站</w:t>
      </w:r>
      <w:r>
        <w:rPr>
          <w:rFonts w:hint="eastAsia" w:ascii="仿宋_GB2312" w:hAnsi="仿宋" w:eastAsia="仿宋_GB2312" w:cs="仿宋"/>
          <w:color w:val="000000" w:themeColor="text1"/>
          <w:sz w:val="32"/>
          <w:szCs w:val="32"/>
          <w:lang w:val="en-US" w:eastAsia="zh-CN"/>
        </w:rPr>
        <w:t>4</w:t>
      </w:r>
      <w:r>
        <w:rPr>
          <w:rFonts w:hint="eastAsia" w:ascii="仿宋_GB2312" w:hAnsi="仿宋" w:eastAsia="仿宋_GB2312" w:cs="仿宋"/>
          <w:color w:val="000000" w:themeColor="text1"/>
          <w:sz w:val="32"/>
          <w:szCs w:val="32"/>
        </w:rPr>
        <w:t>8条，赣州市生态环境局官方微博1323条，赣州环保微信公众平台860条，在市级及以上媒体发稿98篇（其中：国家级媒体发稿18篇，在省级以上网站、电视台、报纸等发稿28篇，市级52篇）。公开信息类别主要包括工作动态、政策文件、发展规划、招考信息、财务信息、行政执法信息、监督性监测及环境质量等政务信息。</w:t>
      </w:r>
    </w:p>
    <w:p>
      <w:pPr>
        <w:pStyle w:val="2"/>
        <w:adjustRightInd w:val="0"/>
        <w:snapToGrid w:val="0"/>
        <w:spacing w:before="0" w:after="0" w:line="560" w:lineRule="exact"/>
        <w:ind w:firstLine="640" w:firstLineChars="200"/>
      </w:pPr>
      <w:r>
        <w:rPr>
          <w:rFonts w:hint="eastAsia" w:ascii="仿宋_GB2312" w:hAnsi="仿宋" w:eastAsia="仿宋_GB2312" w:cs="仿宋"/>
          <w:b w:val="0"/>
          <w:bCs w:val="0"/>
        </w:rPr>
        <w:t>2019年度，我局收到依申请公开政府信息23件，全部已经依法办结，其中：予以公开的7件，不予公开的1件，无法提供的15件。</w:t>
      </w:r>
      <w:r>
        <w:rPr>
          <w:rFonts w:hint="eastAsia" w:ascii="仿宋_GB2312" w:hAnsi="仿宋" w:eastAsia="仿宋_GB2312" w:cs="仿宋"/>
          <w:b w:val="0"/>
          <w:bCs w:val="0"/>
          <w:color w:val="000000" w:themeColor="text1"/>
        </w:rPr>
        <w:t>我局无因政府信息公开而被申请行政复议的案件，无因政府信息公开申请被提起行政诉讼的案件。我局未发生政府信息公开的收费及减免情况。</w:t>
      </w:r>
    </w:p>
    <w:p>
      <w:pPr>
        <w:adjustRightInd w:val="0"/>
        <w:snapToGrid w:val="0"/>
        <w:spacing w:line="560" w:lineRule="exact"/>
        <w:ind w:firstLine="640" w:firstLineChars="200"/>
        <w:outlineLvl w:val="1"/>
        <w:rPr>
          <w:rFonts w:ascii="黑体" w:hAnsi="仿宋" w:eastAsia="黑体" w:cs="仿宋"/>
          <w:color w:val="000000" w:themeColor="text1"/>
          <w:sz w:val="32"/>
          <w:szCs w:val="32"/>
        </w:rPr>
      </w:pPr>
      <w:r>
        <w:rPr>
          <w:rFonts w:hint="eastAsia" w:ascii="楷体" w:hAnsi="楷体" w:eastAsia="楷体" w:cs="楷体"/>
          <w:color w:val="000000" w:themeColor="text1"/>
          <w:sz w:val="32"/>
          <w:szCs w:val="32"/>
        </w:rPr>
        <w:t>（一）加强政务公开组织领导</w:t>
      </w:r>
    </w:p>
    <w:p>
      <w:pPr>
        <w:pStyle w:val="6"/>
        <w:widowControl/>
        <w:adjustRightInd w:val="0"/>
        <w:snapToGrid w:val="0"/>
        <w:spacing w:beforeAutospacing="0" w:afterAutospacing="0" w:line="560" w:lineRule="exact"/>
        <w:ind w:firstLine="640" w:firstLineChars="200"/>
        <w:jc w:val="both"/>
        <w:rPr>
          <w:rFonts w:ascii="仿宋_GB2312" w:hAnsi="仿宋" w:eastAsia="仿宋_GB2312" w:cs="仿宋"/>
          <w:color w:val="000000" w:themeColor="text1"/>
          <w:kern w:val="2"/>
          <w:sz w:val="32"/>
          <w:szCs w:val="32"/>
        </w:rPr>
      </w:pPr>
      <w:r>
        <w:rPr>
          <w:rFonts w:hint="eastAsia" w:ascii="仿宋_GB2312" w:hAnsi="仿宋" w:eastAsia="仿宋_GB2312" w:cs="仿宋"/>
          <w:color w:val="000000" w:themeColor="text1"/>
          <w:kern w:val="2"/>
          <w:sz w:val="32"/>
          <w:szCs w:val="32"/>
        </w:rPr>
        <w:t>成立了信息公开工作领导小组，</w:t>
      </w:r>
      <w:r>
        <w:rPr>
          <w:rFonts w:hint="eastAsia" w:ascii="仿宋_GB2312" w:hAnsi="仿宋" w:eastAsia="仿宋_GB2312" w:cs="仿宋"/>
          <w:color w:val="000000"/>
          <w:sz w:val="32"/>
          <w:szCs w:val="32"/>
        </w:rPr>
        <w:t>建立了市县两级环境信息员队伍，形成上下联动的工作格局。下发了《关于做好赣州市人民政府和赣州市生态环境局门户网站内容保障工作的通知》（赣市环发〔2019〕53号），细化目标任务，明确了政务公开工作具体要求。同时，为提升我局信息公开能力水平，举办了政务公开工作暨网站新媒体内容保障与信息安全培训会。</w:t>
      </w:r>
      <w:r>
        <w:rPr>
          <w:rFonts w:ascii="仿宋_GB2312" w:hAnsi="仿宋" w:eastAsia="仿宋_GB2312" w:cs="仿宋"/>
          <w:color w:val="000000"/>
          <w:sz w:val="32"/>
          <w:szCs w:val="32"/>
        </w:rPr>
        <w:t xml:space="preserve"> </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推进信息公开平台建设，建立全市生态环境系统两微矩阵，强化政务微博、微信公众号的日常运营管理，坚持做到工作日有信息发布，积极创新新媒体产品形式，制作了一张图、H5、短视频等形式新媒体产品6个。结合工作需要，在赣州环保官网新开设了创卫在行动、“不忘初心、牢记使命”主题教育专栏。</w:t>
      </w:r>
    </w:p>
    <w:p>
      <w:pPr>
        <w:adjustRightInd w:val="0"/>
        <w:snapToGrid w:val="0"/>
        <w:spacing w:line="56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（二）做好决策预公开和政策解读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决</w:t>
      </w:r>
      <w:r>
        <w:rPr>
          <w:rFonts w:hint="eastAsia" w:ascii="仿宋_GB2312" w:hAnsi="宋体" w:eastAsia="仿宋_GB2312" w:cs="仿宋_GB2312"/>
          <w:color w:val="000000"/>
          <w:sz w:val="31"/>
          <w:szCs w:val="31"/>
          <w:shd w:val="clear" w:color="auto" w:fill="FFFFFF"/>
        </w:rPr>
        <w:t>策预公开的要求，在市政府网站公开了</w:t>
      </w:r>
      <w:r>
        <w:rPr>
          <w:rFonts w:ascii="仿宋_GB2312" w:hAnsi="宋体" w:eastAsia="仿宋_GB2312" w:cs="仿宋_GB2312"/>
          <w:color w:val="000000"/>
          <w:sz w:val="31"/>
          <w:szCs w:val="31"/>
          <w:shd w:val="clear" w:color="auto" w:fill="FFFFFF"/>
        </w:rPr>
        <w:t>《赣州市中心城区声环境功能区调整方案</w:t>
      </w:r>
      <w:r>
        <w:rPr>
          <w:rFonts w:hint="eastAsia" w:ascii="仿宋_GB2312" w:hAnsi="宋体" w:eastAsia="仿宋_GB2312" w:cs="仿宋_GB2312"/>
          <w:color w:val="000000"/>
          <w:sz w:val="31"/>
          <w:szCs w:val="31"/>
          <w:shd w:val="clear" w:color="auto" w:fill="FFFFFF"/>
        </w:rPr>
        <w:t>》决策草案、起草说明及反馈意见渠道、意见汇总及采纳情况。同时，</w:t>
      </w:r>
      <w:r>
        <w:rPr>
          <w:rFonts w:hint="eastAsia" w:ascii="仿宋_GB2312" w:hAnsi="仿宋_GB2312" w:eastAsia="仿宋_GB2312" w:cs="仿宋_GB2312"/>
          <w:sz w:val="32"/>
          <w:szCs w:val="32"/>
        </w:rPr>
        <w:t>采取了图解、文字等方式对我局牵头起草的重大政策文件、2019年生态环境保护工作要点等进行了解读，</w:t>
      </w:r>
      <w:r>
        <w:rPr>
          <w:rFonts w:hint="eastAsia" w:ascii="仿宋_GB2312" w:hAnsi="仿宋" w:eastAsia="仿宋_GB2312" w:cs="仿宋"/>
          <w:color w:val="000000" w:themeColor="text1"/>
          <w:sz w:val="32"/>
          <w:szCs w:val="32"/>
        </w:rPr>
        <w:t>在市政府网站、环保官网、微信公众号、政务微博平台</w:t>
      </w:r>
      <w:r>
        <w:rPr>
          <w:rFonts w:hint="eastAsia" w:ascii="仿宋_GB2312" w:hAnsi="仿宋_GB2312" w:eastAsia="仿宋_GB2312" w:cs="仿宋_GB2312"/>
          <w:sz w:val="32"/>
          <w:szCs w:val="32"/>
        </w:rPr>
        <w:t>发布了一图读懂|2019年赣州市生态环境工作要点、一图读懂|赣州市生态环境问题全面排查和整改工作实施方案、一图读懂|赣州市土壤污染防治工作情况等解读材料、解读赣州市贯彻落实省生态环境保护督察反馈意见整改方案等政策解读文章。</w:t>
      </w:r>
    </w:p>
    <w:p>
      <w:pPr>
        <w:adjustRightInd w:val="0"/>
        <w:snapToGrid w:val="0"/>
        <w:spacing w:line="56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（三）强化重点领域环境信息公开</w:t>
      </w:r>
    </w:p>
    <w:p>
      <w:pPr>
        <w:spacing w:line="560" w:lineRule="exact"/>
        <w:ind w:firstLine="640" w:firstLineChars="200"/>
        <w:rPr>
          <w:rFonts w:ascii="仿宋" w:hAnsi="仿宋" w:eastAsia="仿宋" w:cs="仿宋"/>
          <w:color w:val="0C0C0C"/>
          <w:sz w:val="32"/>
          <w:szCs w:val="32"/>
        </w:rPr>
      </w:pPr>
      <w:r>
        <w:rPr>
          <w:rFonts w:hint="eastAsia" w:ascii="仿宋_GB2312" w:hAnsi="仿宋" w:eastAsia="仿宋_GB2312" w:cs="仿宋"/>
          <w:color w:val="0C0C0C"/>
          <w:sz w:val="32"/>
          <w:szCs w:val="32"/>
        </w:rPr>
        <w:t>1.主动公开全市环境质量状况。</w:t>
      </w:r>
      <w:r>
        <w:rPr>
          <w:rFonts w:hint="eastAsia" w:ascii="仿宋_GB2312" w:hAnsi="仿宋" w:eastAsia="仿宋_GB2312" w:cs="仿宋"/>
          <w:color w:val="000000"/>
          <w:sz w:val="32"/>
          <w:szCs w:val="32"/>
        </w:rPr>
        <w:t>通过环境质量发布平台实时发布环境空气质量，</w:t>
      </w:r>
      <w:r>
        <w:rPr>
          <w:rFonts w:hint="eastAsia" w:ascii="仿宋_GB2312" w:hAnsi="仿宋" w:eastAsia="仿宋_GB2312" w:cs="仿宋"/>
          <w:color w:val="0C0C0C"/>
          <w:sz w:val="32"/>
          <w:szCs w:val="32"/>
        </w:rPr>
        <w:t>每月发布赣州市中心城区环境空气质量月报、市级集中式饮用水水源</w:t>
      </w:r>
      <w:r>
        <w:rPr>
          <w:rFonts w:hint="eastAsia" w:ascii="仿宋_GB2312" w:hAnsi="仿宋" w:eastAsia="仿宋_GB2312" w:cs="仿宋"/>
          <w:color w:val="000000"/>
          <w:sz w:val="32"/>
          <w:szCs w:val="32"/>
        </w:rPr>
        <w:t>水质状况月报、地表水监测月报，</w:t>
      </w:r>
      <w:r>
        <w:rPr>
          <w:rFonts w:hint="eastAsia" w:ascii="仿宋_GB2312" w:hAnsi="仿宋" w:eastAsia="仿宋_GB2312" w:cs="仿宋"/>
          <w:color w:val="0C0C0C"/>
          <w:sz w:val="32"/>
          <w:szCs w:val="32"/>
        </w:rPr>
        <w:t>每季度发布县级集中式饮用水水源水质季报及农村千吨万人饮用水源地水质监测季报</w:t>
      </w:r>
      <w:r>
        <w:rPr>
          <w:rFonts w:hint="eastAsia" w:ascii="仿宋" w:hAnsi="仿宋" w:eastAsia="仿宋" w:cs="仿宋"/>
          <w:color w:val="0C0C0C"/>
          <w:sz w:val="32"/>
          <w:szCs w:val="32"/>
        </w:rPr>
        <w:t>。</w:t>
      </w:r>
    </w:p>
    <w:p>
      <w:pPr>
        <w:widowControl/>
        <w:adjustRightInd w:val="0"/>
        <w:snapToGrid w:val="0"/>
        <w:spacing w:line="560" w:lineRule="exact"/>
        <w:ind w:firstLine="640" w:firstLineChars="200"/>
        <w:rPr>
          <w:rFonts w:ascii="仿宋_GB2312" w:hAnsi="仿宋" w:eastAsia="仿宋_GB2312" w:cs="仿宋"/>
          <w:color w:val="0C0C0C"/>
          <w:sz w:val="32"/>
          <w:szCs w:val="32"/>
        </w:rPr>
      </w:pPr>
      <w:r>
        <w:rPr>
          <w:rFonts w:hint="eastAsia" w:ascii="仿宋_GB2312" w:hAnsi="仿宋" w:eastAsia="仿宋_GB2312" w:cs="仿宋"/>
          <w:color w:val="0C0C0C"/>
          <w:sz w:val="32"/>
          <w:szCs w:val="32"/>
        </w:rPr>
        <w:t>2.推进污染源监管信息公开，公布了2019年全市重点排污单位名单，全市重点污染源监督性监测月报，半年报、年报。公开</w:t>
      </w:r>
      <w:r>
        <w:rPr>
          <w:rFonts w:hint="eastAsia" w:ascii="仿宋_GB2312" w:hAnsi="仿宋" w:eastAsia="仿宋_GB2312" w:cs="仿宋"/>
          <w:color w:val="0C0C0C"/>
          <w:sz w:val="32"/>
          <w:szCs w:val="32"/>
          <w:lang w:val="en-US" w:eastAsia="zh-CN"/>
        </w:rPr>
        <w:t>了</w:t>
      </w:r>
      <w:r>
        <w:rPr>
          <w:rFonts w:hint="eastAsia" w:ascii="仿宋_GB2312" w:hAnsi="仿宋" w:eastAsia="仿宋_GB2312" w:cs="仿宋"/>
          <w:color w:val="0C0C0C"/>
          <w:sz w:val="32"/>
          <w:szCs w:val="32"/>
        </w:rPr>
        <w:t>行政处罚决定书及</w:t>
      </w:r>
      <w:r>
        <w:rPr>
          <w:rFonts w:hint="eastAsia" w:ascii="仿宋_GB2312" w:hAnsi="仿宋_GB2312" w:eastAsia="仿宋_GB2312" w:cs="仿宋_GB2312"/>
          <w:color w:val="000000"/>
          <w:sz w:val="32"/>
          <w:szCs w:val="32"/>
        </w:rPr>
        <w:t>《环境保护》四个配套办法落实情况。</w:t>
      </w:r>
      <w:r>
        <w:rPr>
          <w:rFonts w:hint="eastAsia" w:ascii="仿宋_GB2312" w:hAnsi="仿宋" w:eastAsia="仿宋_GB2312" w:cs="仿宋"/>
          <w:color w:val="0C0C0C"/>
          <w:sz w:val="32"/>
          <w:szCs w:val="32"/>
        </w:rPr>
        <w:t>推进“双随机一公开”工作</w:t>
      </w:r>
      <w:r>
        <w:rPr>
          <w:rFonts w:hint="eastAsia" w:ascii="仿宋_GB2312" w:hAnsi="仿宋" w:eastAsia="仿宋_GB2312" w:cs="仿宋"/>
          <w:color w:val="000000"/>
          <w:sz w:val="32"/>
          <w:szCs w:val="32"/>
        </w:rPr>
        <w:t>，对日常环境监管随机抽查企业的执法检查结果进行公开。公示了环保“红牌（黄牌）”警示企业名单和环保“红牌（黄牌</w:t>
      </w:r>
      <w:r>
        <w:rPr>
          <w:rFonts w:hint="eastAsia" w:ascii="仿宋_GB2312" w:hAnsi="仿宋" w:eastAsia="仿宋_GB2312" w:cs="仿宋"/>
          <w:color w:val="0C0C0C"/>
          <w:sz w:val="32"/>
          <w:szCs w:val="32"/>
        </w:rPr>
        <w:t>）”警示解除通知书。</w:t>
      </w:r>
    </w:p>
    <w:p>
      <w:pPr>
        <w:widowControl/>
        <w:adjustRightInd w:val="0"/>
        <w:snapToGrid w:val="0"/>
        <w:spacing w:line="560" w:lineRule="exact"/>
        <w:ind w:firstLine="640" w:firstLineChars="200"/>
        <w:rPr>
          <w:rFonts w:ascii="仿宋_GB2312" w:hAnsi="仿宋" w:eastAsia="仿宋_GB2312" w:cs="仿宋"/>
          <w:color w:val="0C0C0C"/>
          <w:sz w:val="32"/>
          <w:szCs w:val="32"/>
        </w:rPr>
      </w:pPr>
      <w:r>
        <w:rPr>
          <w:rFonts w:hint="eastAsia" w:ascii="仿宋_GB2312" w:hAnsi="仿宋" w:eastAsia="仿宋_GB2312" w:cs="仿宋"/>
          <w:color w:val="0C0C0C"/>
          <w:sz w:val="32"/>
          <w:szCs w:val="32"/>
        </w:rPr>
        <w:t>3.积极做好行政审批服务信息公开。</w:t>
      </w:r>
      <w:r>
        <w:rPr>
          <w:rFonts w:hint="eastAsia" w:ascii="仿宋_GB2312" w:hAnsi="仿宋" w:eastAsia="仿宋_GB2312" w:cs="仿宋"/>
          <w:color w:val="000000" w:themeColor="text1"/>
          <w:sz w:val="32"/>
          <w:szCs w:val="32"/>
        </w:rPr>
        <w:t>全面梳理了我局行政审批服务、行政权力清单，行政许可、行政处罚、行政强制、行政确认、行政监督检查等事项，对行政权力运行结果进行及时公开。公开了建设项目（辐射类）环评文件拟受理、拟批准和批准信息</w:t>
      </w:r>
      <w:r>
        <w:rPr>
          <w:rFonts w:hint="eastAsia" w:ascii="仿宋_GB2312" w:hAnsi="仿宋" w:eastAsia="仿宋_GB2312" w:cs="仿宋"/>
          <w:color w:val="0C0C0C"/>
          <w:sz w:val="32"/>
          <w:szCs w:val="32"/>
        </w:rPr>
        <w:t>，建设项目固体废物污染防治设施竣工环保验收信息、危险废物经营许可等信息。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
          <w:color w:val="0C0C0C"/>
          <w:sz w:val="32"/>
          <w:szCs w:val="32"/>
        </w:rPr>
        <w:t>4.公开环境突发事件、突发环境应急预案以及事件处理情况。</w:t>
      </w:r>
      <w:r>
        <w:rPr>
          <w:rFonts w:hint="eastAsia" w:ascii="仿宋_GB2312" w:hAnsi="仿宋_GB2312" w:eastAsia="仿宋_GB2312" w:cs="仿宋_GB2312"/>
          <w:color w:val="000000"/>
          <w:sz w:val="32"/>
          <w:szCs w:val="32"/>
        </w:rPr>
        <w:t>2019年我局印发了《赣州市突发环境事件应急</w:t>
      </w:r>
      <w:r>
        <w:rPr>
          <w:rFonts w:hint="eastAsia" w:ascii="仿宋_GB2312" w:hAnsi="仿宋_GB2312" w:eastAsia="仿宋_GB2312" w:cs="仿宋_GB2312"/>
          <w:sz w:val="32"/>
          <w:szCs w:val="32"/>
        </w:rPr>
        <w:t>预案》（修订稿）的通知并在市政府网站公开，公开了赣州涉危涉重企业应急预案公示网址及我市开展环境应急演练等工作动态信息。2019年我市未发生生态环境部认定的重大特大等级突发环境事件。</w:t>
      </w:r>
    </w:p>
    <w:p>
      <w:pPr>
        <w:widowControl/>
        <w:adjustRightInd w:val="0"/>
        <w:snapToGrid w:val="0"/>
        <w:spacing w:line="560" w:lineRule="exact"/>
        <w:ind w:firstLine="640" w:firstLineChars="200"/>
        <w:rPr>
          <w:rFonts w:hint="eastAsia" w:ascii="仿宋_GB2312" w:hAnsi="仿宋" w:eastAsia="仿宋_GB2312" w:cs="仿宋"/>
          <w:color w:val="000000" w:themeColor="text1"/>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color w:val="0C0C0C"/>
          <w:sz w:val="32"/>
          <w:szCs w:val="32"/>
        </w:rPr>
        <w:t>5.环境保护督察信息公开工作。</w:t>
      </w:r>
      <w:r>
        <w:rPr>
          <w:rFonts w:hint="eastAsia" w:ascii="仿宋_GB2312" w:hAnsi="仿宋" w:eastAsia="仿宋_GB2312" w:cs="仿宋"/>
          <w:color w:val="000000"/>
          <w:sz w:val="32"/>
          <w:szCs w:val="32"/>
        </w:rPr>
        <w:t>全文公开了省第三环境保护督察组对赣州市环保督察反馈意见和赣州市公开省生态环境保护督察反馈意见整改方案。对赣州市的省环境保护督察交办信访件（共计180件）整改完成情况进行了公示、中央环境保护督察交办信访件(共计249件)整改完成情况进行了公示。</w:t>
      </w:r>
    </w:p>
    <w:p>
      <w:pPr>
        <w:pStyle w:val="6"/>
        <w:shd w:val="clear" w:color="auto" w:fill="FFFFFF"/>
        <w:spacing w:beforeAutospacing="0" w:afterAutospacing="0" w:line="560" w:lineRule="exact"/>
        <w:ind w:firstLine="640" w:firstLineChars="200"/>
        <w:jc w:val="both"/>
        <w:outlineLvl w:val="0"/>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二、主动公开政府信息情况</w:t>
      </w:r>
    </w:p>
    <w:tbl>
      <w:tblPr>
        <w:tblStyle w:val="7"/>
        <w:tblW w:w="8140" w:type="dxa"/>
        <w:jc w:val="center"/>
        <w:shd w:val="clear" w:color="auto" w:fill="FFFFFF" w:themeFill="background1"/>
        <w:tblLayout w:type="fixed"/>
        <w:tblCellMar>
          <w:top w:w="0" w:type="dxa"/>
          <w:left w:w="0" w:type="dxa"/>
          <w:bottom w:w="0" w:type="dxa"/>
          <w:right w:w="0" w:type="dxa"/>
        </w:tblCellMar>
      </w:tblPr>
      <w:tblGrid>
        <w:gridCol w:w="2333"/>
        <w:gridCol w:w="2100"/>
        <w:gridCol w:w="1826"/>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第二十条第（一）项</w:t>
            </w:r>
          </w:p>
        </w:tc>
      </w:tr>
      <w:tr>
        <w:tblPrEx>
          <w:tblCellMar>
            <w:top w:w="0" w:type="dxa"/>
            <w:left w:w="0" w:type="dxa"/>
            <w:bottom w:w="0" w:type="dxa"/>
            <w:right w:w="0" w:type="dxa"/>
          </w:tblCellMar>
        </w:tblPrEx>
        <w:trPr>
          <w:trHeight w:val="454"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信息内容</w:t>
            </w:r>
          </w:p>
        </w:tc>
        <w:tc>
          <w:tcPr>
            <w:tcW w:w="2100"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本年新</w:t>
            </w:r>
            <w:r>
              <w:rPr>
                <w:rFonts w:asciiTheme="minorHAnsi" w:hAnsiTheme="minorHAnsi" w:eastAsiaTheme="minorEastAsia" w:cstheme="minorBidi"/>
                <w:color w:val="000000" w:themeColor="text1"/>
                <w:kern w:val="0"/>
                <w:sz w:val="20"/>
                <w:szCs w:val="20"/>
              </w:rPr>
              <w:t>制作数量</w:t>
            </w:r>
          </w:p>
        </w:tc>
        <w:tc>
          <w:tcPr>
            <w:tcW w:w="182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本年新</w:t>
            </w:r>
            <w:r>
              <w:rPr>
                <w:rFonts w:asciiTheme="minorHAnsi" w:hAnsiTheme="minorHAnsi" w:eastAsiaTheme="minorEastAsia" w:cstheme="minorBidi"/>
                <w:color w:val="000000" w:themeColor="text1"/>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规章</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val="en-US" w:eastAsia="zh-CN"/>
              </w:rPr>
            </w:pPr>
            <w:r>
              <w:rPr>
                <w:rFonts w:hint="eastAsia" w:ascii="宋体" w:hAnsi="宋体" w:cs="宋体"/>
                <w:color w:val="000000" w:themeColor="text1"/>
                <w:kern w:val="0"/>
                <w:sz w:val="20"/>
                <w:szCs w:val="20"/>
                <w:lang w:val="en-US" w:eastAsia="zh-CN"/>
              </w:rPr>
              <w:t>0</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val="en-US" w:eastAsia="zh-CN"/>
              </w:rPr>
            </w:pPr>
            <w:r>
              <w:rPr>
                <w:rFonts w:hint="eastAsia" w:ascii="宋体" w:hAnsi="宋体" w:cs="宋体"/>
                <w:color w:val="000000" w:themeColor="text1"/>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val="en-US" w:eastAsia="zh-CN"/>
              </w:rPr>
            </w:pPr>
            <w:r>
              <w:rPr>
                <w:rFonts w:hint="eastAsia" w:ascii="宋体" w:hAnsi="宋体" w:cs="宋体"/>
                <w:color w:val="000000" w:themeColor="text1"/>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规范性文件</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val="en-US" w:eastAsia="zh-CN"/>
              </w:rPr>
            </w:pPr>
            <w:r>
              <w:rPr>
                <w:rFonts w:hint="eastAsia" w:ascii="宋体" w:hAnsi="宋体" w:cs="宋体"/>
                <w:color w:val="000000" w:themeColor="text1"/>
                <w:kern w:val="0"/>
                <w:sz w:val="20"/>
                <w:szCs w:val="20"/>
                <w:lang w:val="en-US" w:eastAsia="zh-CN"/>
              </w:rPr>
              <w:t>0</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val="en-US" w:eastAsia="zh-CN"/>
              </w:rPr>
            </w:pPr>
            <w:r>
              <w:rPr>
                <w:rFonts w:hint="eastAsia" w:ascii="宋体" w:hAnsi="宋体" w:cs="宋体"/>
                <w:color w:val="000000" w:themeColor="text1"/>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FF0000"/>
                <w:lang w:val="en-US" w:eastAsia="zh-CN"/>
              </w:rPr>
            </w:pPr>
            <w:r>
              <w:rPr>
                <w:rFonts w:hint="eastAsia" w:ascii="宋体" w:hAnsi="宋体" w:cs="宋体"/>
                <w:color w:val="000000" w:themeColor="text1"/>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信息内容</w:t>
            </w:r>
          </w:p>
        </w:tc>
        <w:tc>
          <w:tcPr>
            <w:tcW w:w="2100"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上一年项目数量</w:t>
            </w:r>
          </w:p>
        </w:tc>
        <w:tc>
          <w:tcPr>
            <w:tcW w:w="182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行政许可</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53</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default" w:eastAsia="宋体"/>
                <w:color w:val="000000" w:themeColor="text1"/>
                <w:lang w:val="en-US" w:eastAsia="zh-CN"/>
              </w:rPr>
            </w:pPr>
            <w:r>
              <w:rPr>
                <w:rFonts w:hint="eastAsia" w:ascii="宋体" w:hAnsi="宋体" w:cs="宋体"/>
                <w:color w:val="000000" w:themeColor="text1"/>
                <w:kern w:val="0"/>
                <w:sz w:val="20"/>
                <w:szCs w:val="20"/>
              </w:rPr>
              <w:t>增</w:t>
            </w:r>
            <w:r>
              <w:rPr>
                <w:rFonts w:hint="eastAsia" w:ascii="宋体" w:hAnsi="宋体" w:cs="宋体"/>
                <w:color w:val="000000" w:themeColor="text1"/>
                <w:kern w:val="0"/>
                <w:sz w:val="20"/>
                <w:szCs w:val="20"/>
                <w:lang w:val="en-US" w:eastAsia="zh-CN"/>
              </w:rPr>
              <w:t>259</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default" w:eastAsia="宋体"/>
                <w:color w:val="000000" w:themeColor="text1"/>
                <w:lang w:val="en-US" w:eastAsia="zh-CN"/>
              </w:rPr>
            </w:pPr>
            <w:r>
              <w:rPr>
                <w:rFonts w:hint="eastAsia" w:ascii="宋体" w:hAnsi="宋体" w:cs="宋体"/>
                <w:color w:val="000000" w:themeColor="text1"/>
                <w:kern w:val="0"/>
                <w:sz w:val="20"/>
                <w:szCs w:val="20"/>
                <w:lang w:val="en-US" w:eastAsia="zh-CN"/>
              </w:rPr>
              <w:t>312</w:t>
            </w:r>
          </w:p>
        </w:tc>
      </w:tr>
      <w:tr>
        <w:tblPrEx>
          <w:tblCellMar>
            <w:top w:w="0" w:type="dxa"/>
            <w:left w:w="0" w:type="dxa"/>
            <w:bottom w:w="0" w:type="dxa"/>
            <w:right w:w="0" w:type="dxa"/>
          </w:tblCellMar>
        </w:tblPrEx>
        <w:trPr>
          <w:trHeight w:val="550"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其他对外管理服务事项</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14</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default" w:eastAsia="宋体"/>
                <w:color w:val="000000" w:themeColor="text1"/>
                <w:lang w:val="en-US" w:eastAsia="zh-CN"/>
              </w:rPr>
            </w:pPr>
            <w:r>
              <w:rPr>
                <w:rFonts w:hint="eastAsia"/>
                <w:color w:val="000000" w:themeColor="text1"/>
                <w:lang w:val="en-US" w:eastAsia="zh-CN"/>
              </w:rPr>
              <w:t>减11</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rFonts w:hint="eastAsia" w:eastAsia="宋体"/>
                <w:color w:val="000000" w:themeColor="text1"/>
                <w:lang w:eastAsia="zh-CN"/>
              </w:rPr>
            </w:pPr>
            <w:r>
              <w:rPr>
                <w:rFonts w:hint="eastAsia" w:ascii="宋体" w:hAnsi="宋体" w:cs="宋体"/>
                <w:color w:val="000000" w:themeColor="text1"/>
                <w:kern w:val="0"/>
                <w:sz w:val="20"/>
                <w:szCs w:val="20"/>
                <w:lang w:val="en-US" w:eastAsia="zh-CN"/>
              </w:rPr>
              <w:t>3</w:t>
            </w:r>
            <w:bookmarkStart w:id="0" w:name="_GoBack"/>
            <w:bookmarkEnd w:id="0"/>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信息内容</w:t>
            </w:r>
          </w:p>
        </w:tc>
        <w:tc>
          <w:tcPr>
            <w:tcW w:w="2100"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上一年项目数量</w:t>
            </w:r>
          </w:p>
        </w:tc>
        <w:tc>
          <w:tcPr>
            <w:tcW w:w="182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pPr>
            <w:r>
              <w:rPr>
                <w:rFonts w:hint="eastAsia" w:ascii="宋体" w:hAnsi="宋体" w:cs="宋体"/>
                <w:color w:val="000000"/>
                <w:kern w:val="0"/>
                <w:sz w:val="20"/>
                <w:szCs w:val="20"/>
              </w:rPr>
              <w:t>行政处罚</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37</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减12</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25</w:t>
            </w:r>
          </w:p>
        </w:tc>
      </w:tr>
      <w:tr>
        <w:tblPrEx>
          <w:tblCellMar>
            <w:top w:w="0" w:type="dxa"/>
            <w:left w:w="0" w:type="dxa"/>
            <w:bottom w:w="0" w:type="dxa"/>
            <w:right w:w="0" w:type="dxa"/>
          </w:tblCellMar>
        </w:tblPrEx>
        <w:trPr>
          <w:trHeight w:val="409"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pPr>
            <w:r>
              <w:rPr>
                <w:rFonts w:hint="eastAsia" w:ascii="宋体" w:hAnsi="宋体" w:cs="宋体"/>
                <w:color w:val="000000"/>
                <w:kern w:val="0"/>
                <w:sz w:val="20"/>
                <w:szCs w:val="20"/>
              </w:rPr>
              <w:t>行政强制</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0</w:t>
            </w:r>
          </w:p>
        </w:tc>
        <w:tc>
          <w:tcPr>
            <w:tcW w:w="182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信息内容</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上一年项目数量</w:t>
            </w:r>
          </w:p>
        </w:tc>
        <w:tc>
          <w:tcPr>
            <w:tcW w:w="3707"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233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left"/>
            </w:pPr>
            <w:r>
              <w:rPr>
                <w:rFonts w:hint="eastAsia" w:ascii="宋体" w:hAnsi="宋体" w:cs="宋体"/>
                <w:color w:val="000000"/>
                <w:kern w:val="0"/>
                <w:sz w:val="20"/>
                <w:szCs w:val="20"/>
              </w:rPr>
              <w:t>行政事业性收费</w:t>
            </w:r>
          </w:p>
        </w:tc>
        <w:tc>
          <w:tcPr>
            <w:tcW w:w="2100"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0</w:t>
            </w:r>
          </w:p>
        </w:tc>
        <w:tc>
          <w:tcPr>
            <w:tcW w:w="3707"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233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信息内容</w:t>
            </w:r>
          </w:p>
        </w:tc>
        <w:tc>
          <w:tcPr>
            <w:tcW w:w="2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采购项目数量</w:t>
            </w:r>
          </w:p>
        </w:tc>
        <w:tc>
          <w:tcPr>
            <w:tcW w:w="370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采购总金额</w:t>
            </w:r>
          </w:p>
        </w:tc>
      </w:tr>
      <w:tr>
        <w:tblPrEx>
          <w:tblCellMar>
            <w:top w:w="0" w:type="dxa"/>
            <w:left w:w="0" w:type="dxa"/>
            <w:bottom w:w="0" w:type="dxa"/>
            <w:right w:w="0" w:type="dxa"/>
          </w:tblCellMar>
        </w:tblPrEx>
        <w:trPr>
          <w:trHeight w:val="539" w:hRule="atLeast"/>
          <w:jc w:val="center"/>
        </w:trPr>
        <w:tc>
          <w:tcPr>
            <w:tcW w:w="233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560" w:lineRule="exact"/>
              <w:ind w:firstLine="200"/>
              <w:jc w:val="left"/>
              <w:rPr>
                <w:color w:val="000000" w:themeColor="text1"/>
              </w:rPr>
            </w:pPr>
            <w:r>
              <w:rPr>
                <w:rFonts w:hint="eastAsia" w:ascii="宋体" w:hAnsi="宋体" w:cs="宋体"/>
                <w:color w:val="000000" w:themeColor="text1"/>
                <w:kern w:val="0"/>
                <w:sz w:val="20"/>
                <w:szCs w:val="20"/>
              </w:rPr>
              <w:t>政府集中采购</w:t>
            </w:r>
          </w:p>
        </w:tc>
        <w:tc>
          <w:tcPr>
            <w:tcW w:w="2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560" w:lineRule="exact"/>
              <w:ind w:firstLine="200"/>
              <w:jc w:val="center"/>
              <w:rPr>
                <w:color w:val="000000" w:themeColor="text1"/>
              </w:rPr>
            </w:pPr>
            <w:r>
              <w:rPr>
                <w:rFonts w:hint="eastAsia" w:ascii="宋体" w:hAnsi="宋体" w:cs="宋体"/>
                <w:color w:val="000000" w:themeColor="text1"/>
                <w:kern w:val="0"/>
                <w:sz w:val="20"/>
                <w:szCs w:val="20"/>
              </w:rPr>
              <w:t>6</w:t>
            </w:r>
          </w:p>
        </w:tc>
        <w:tc>
          <w:tcPr>
            <w:tcW w:w="370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560" w:lineRule="exact"/>
              <w:ind w:firstLine="200"/>
              <w:jc w:val="center"/>
              <w:rPr>
                <w:rFonts w:ascii="宋体"/>
                <w:color w:val="000000" w:themeColor="text1"/>
                <w:sz w:val="24"/>
                <w:szCs w:val="24"/>
              </w:rPr>
            </w:pPr>
            <w:r>
              <w:rPr>
                <w:rFonts w:hint="eastAsia" w:ascii="宋体" w:hAnsi="宋体" w:cs="宋体"/>
                <w:color w:val="000000" w:themeColor="text1"/>
                <w:kern w:val="0"/>
                <w:sz w:val="20"/>
                <w:szCs w:val="20"/>
              </w:rPr>
              <w:t>47.4853万元</w:t>
            </w:r>
          </w:p>
        </w:tc>
      </w:tr>
    </w:tbl>
    <w:p>
      <w:pPr>
        <w:pStyle w:val="6"/>
        <w:shd w:val="clear" w:color="auto" w:fill="FFFFFF"/>
        <w:spacing w:beforeAutospacing="0" w:afterAutospacing="0" w:line="560" w:lineRule="exact"/>
        <w:ind w:firstLine="200"/>
        <w:jc w:val="both"/>
        <w:rPr>
          <w:bCs/>
          <w:color w:val="333333"/>
          <w:shd w:val="clear" w:color="auto" w:fill="FFFFFF"/>
        </w:rPr>
        <w:sectPr>
          <w:pgSz w:w="11906" w:h="16838"/>
          <w:pgMar w:top="1440" w:right="1800" w:bottom="1440" w:left="1800" w:header="851" w:footer="992" w:gutter="0"/>
          <w:cols w:space="425" w:num="1"/>
          <w:docGrid w:type="lines" w:linePitch="312" w:charSpace="0"/>
        </w:sectPr>
      </w:pPr>
    </w:p>
    <w:p>
      <w:pPr>
        <w:pStyle w:val="6"/>
        <w:shd w:val="clear" w:color="auto" w:fill="FFFFFF"/>
        <w:spacing w:beforeAutospacing="0" w:afterAutospacing="0" w:line="560" w:lineRule="exact"/>
        <w:ind w:firstLine="640" w:firstLineChars="200"/>
        <w:jc w:val="both"/>
        <w:outlineLvl w:val="0"/>
        <w:rPr>
          <w:rFonts w:ascii="方正黑体简体" w:hAnsi="方正黑体简体" w:eastAsia="方正黑体简体" w:cs="方正黑体简体"/>
          <w:color w:val="333333"/>
        </w:rPr>
      </w:pPr>
      <w:r>
        <w:rPr>
          <w:rFonts w:hint="eastAsia" w:ascii="黑体" w:hAnsi="黑体" w:eastAsia="黑体" w:cs="黑体"/>
          <w:bCs/>
          <w:color w:val="333333"/>
          <w:sz w:val="32"/>
          <w:szCs w:val="32"/>
          <w:shd w:val="clear" w:color="auto" w:fill="FFFFFF"/>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376"/>
        <w:gridCol w:w="527"/>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（本列数据的勾稽关系为：第一项加第二项之和，等于第三项加第四项之和）</w:t>
            </w:r>
          </w:p>
        </w:tc>
        <w:tc>
          <w:tcPr>
            <w:tcW w:w="522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52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both"/>
            </w:pPr>
            <w:r>
              <w:rPr>
                <w:rFonts w:hint="eastAsia" w:ascii="宋体" w:hAnsi="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5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宋体" w:hAnsi="宋体" w:cs="宋体"/>
                <w:kern w:val="0"/>
                <w:sz w:val="20"/>
                <w:szCs w:val="20"/>
              </w:rPr>
              <w:t>一、本年新收政府信息公开申请数量</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both"/>
            </w:pPr>
            <w:r>
              <w:rPr>
                <w:rFonts w:hint="eastAsia" w:cs="Calibri" w:eastAsiaTheme="minorEastAsia"/>
                <w:kern w:val="0"/>
                <w:sz w:val="20"/>
                <w:szCs w:val="20"/>
              </w:rPr>
              <w:t>14</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cs="Calibri" w:eastAsiaTheme="minorEastAsia"/>
                <w:kern w:val="0"/>
                <w:sz w:val="20"/>
                <w:szCs w:val="20"/>
              </w:rPr>
              <w:t> </w:t>
            </w:r>
            <w:r>
              <w:rPr>
                <w:rFonts w:hint="eastAsia" w:cs="Calibri" w:eastAsiaTheme="minorEastAsia"/>
                <w:kern w:val="0"/>
                <w:sz w:val="20"/>
                <w:szCs w:val="20"/>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宋体"/>
                <w:lang w:val="en-US" w:eastAsia="zh-CN"/>
              </w:rPr>
            </w:pPr>
            <w:r>
              <w:rPr>
                <w:rFonts w:hint="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rPr>
              <w:t>8</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宋体" w:hAnsi="宋体" w:cs="宋体"/>
                <w:kern w:val="0"/>
                <w:sz w:val="20"/>
                <w:szCs w:val="20"/>
              </w:rPr>
              <w:t>二、上年结转政府信息公开申请数量</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宋体" w:hAnsi="宋体" w:cs="宋体"/>
                <w:kern w:val="0"/>
                <w:sz w:val="20"/>
                <w:szCs w:val="20"/>
              </w:rPr>
              <w:t>三、本年度办理结果</w:t>
            </w:r>
          </w:p>
        </w:tc>
        <w:tc>
          <w:tcPr>
            <w:tcW w:w="323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（一）予以公开</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eastAsiaTheme="minorEastAsia"/>
              </w:rPr>
            </w:pPr>
            <w:r>
              <w:rPr>
                <w:rFonts w:hint="eastAsia" w:cs="Calibri" w:eastAsiaTheme="minorEastAsia"/>
                <w:kern w:val="0"/>
                <w:sz w:val="20"/>
                <w:szCs w:val="20"/>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hint="eastAsia" w:eastAsia="宋体"/>
                <w:lang w:val="en-US" w:eastAsia="zh-CN"/>
              </w:rPr>
            </w:pPr>
            <w:r>
              <w:rPr>
                <w:rFonts w:hint="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hint="eastAsia" w:eastAsia="宋体"/>
                <w:lang w:val="en-US" w:eastAsia="zh-CN"/>
              </w:rPr>
            </w:pPr>
            <w:r>
              <w:rPr>
                <w:rFonts w:hint="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eastAsiaTheme="minorEastAsia"/>
              </w:rPr>
            </w:pPr>
            <w:r>
              <w:rPr>
                <w:rFonts w:hint="eastAsia" w:cs="Calibri" w:eastAsiaTheme="minorEastAsia"/>
                <w:kern w:val="0"/>
                <w:sz w:val="20"/>
                <w:szCs w:val="20"/>
              </w:rPr>
              <w:t>6</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hint="eastAsia" w:eastAsia="宋体"/>
                <w:lang w:val="en-US" w:eastAsia="zh-CN"/>
              </w:rPr>
            </w:pPr>
            <w:r>
              <w:rPr>
                <w:rFonts w:hint="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hint="eastAsia" w:eastAsia="宋体"/>
                <w:lang w:val="en-US" w:eastAsia="zh-CN"/>
              </w:rPr>
            </w:pPr>
            <w:r>
              <w:rPr>
                <w:rFonts w:hint="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eastAsiaTheme="minorEastAsia"/>
              </w:rPr>
            </w:pPr>
            <w:r>
              <w:rPr>
                <w:rFonts w:hint="eastAsia" w:cs="Calibri" w:eastAsiaTheme="minorEastAsia"/>
                <w:kern w:val="0"/>
                <w:sz w:val="20"/>
                <w:szCs w:val="20"/>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323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（二）部分公开（区分处理的，只计这一情形，不计其他情形）</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（三）不予公开</w:t>
            </w: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1.属于国家秘密</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2.其他法律行政法规禁止公开</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3.危及“三安全一稳定”</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4.保护第三方合法权益</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eastAsiaTheme="minorEastAsia"/>
              </w:rPr>
            </w:pPr>
            <w:r>
              <w:rPr>
                <w:rFonts w:hint="eastAsia" w:cs="Calibri" w:eastAsiaTheme="minorEastAsia"/>
                <w:kern w:val="0"/>
                <w:sz w:val="20"/>
                <w:szCs w:val="20"/>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center"/>
              <w:rPr>
                <w:rFonts w:eastAsiaTheme="minorEastAsia"/>
              </w:rPr>
            </w:pPr>
            <w:r>
              <w:rPr>
                <w:rFonts w:hint="eastAsia" w:cs="Calibri" w:eastAsiaTheme="minorEastAsia"/>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5.属于三类内部事务信息</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23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6.属于四类过程性信息</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7.属于行政执法案卷</w:t>
            </w:r>
          </w:p>
        </w:tc>
        <w:tc>
          <w:tcPr>
            <w:tcW w:w="5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8.属于行政查询事项</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（四）无法提供</w:t>
            </w: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1.本机关不掌握相关政府信息</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both"/>
            </w:pPr>
            <w:r>
              <w:rPr>
                <w:rFonts w:hint="eastAsia" w:cs="Calibri" w:eastAsiaTheme="minorEastAsia"/>
                <w:kern w:val="0"/>
                <w:sz w:val="20"/>
                <w:szCs w:val="20"/>
              </w:rPr>
              <w:t>12</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cs="Calibri" w:eastAsiaTheme="minorEastAsia"/>
                <w:kern w:val="0"/>
                <w:sz w:val="20"/>
                <w:szCs w:val="20"/>
              </w:rPr>
              <w:t> </w:t>
            </w:r>
            <w:r>
              <w:rPr>
                <w:rFonts w:hint="eastAsia" w:cs="Calibri" w:eastAsiaTheme="minorEastAsia"/>
                <w:kern w:val="0"/>
                <w:sz w:val="20"/>
                <w:szCs w:val="20"/>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cs="Calibri" w:eastAsiaTheme="minorEastAsia"/>
                <w:kern w:val="0"/>
                <w:sz w:val="20"/>
                <w:szCs w:val="20"/>
              </w:rPr>
              <w:t> </w:t>
            </w:r>
            <w:r>
              <w:rPr>
                <w:rFonts w:hint="eastAsia" w:cs="Calibri" w:eastAsiaTheme="minorEastAsia"/>
                <w:kern w:val="0"/>
                <w:sz w:val="20"/>
                <w:szCs w:val="20"/>
              </w:rPr>
              <w:t>1</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2.没有现成信息需要另行制作</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rPr>
              <w:t>1</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hint="eastAsia" w:cs="Calibri" w:eastAsiaTheme="minorEastAsia"/>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3.补正后申请内容仍不明确</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（五）不予处理</w:t>
            </w: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1.信访举报投诉类申请</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2.重复申请</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3.要求提供公开出版物</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4.无正当理由大量反复申请</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23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5.要求行政机关确认或重新出具已获取信息</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323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left"/>
            </w:pPr>
            <w:r>
              <w:rPr>
                <w:rFonts w:hint="eastAsia" w:ascii="楷体" w:hAnsi="楷体" w:eastAsia="楷体" w:cs="楷体"/>
                <w:kern w:val="0"/>
                <w:sz w:val="20"/>
                <w:szCs w:val="20"/>
              </w:rPr>
              <w:t>（六）其他处理</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firstLineChars="0"/>
              <w:jc w:val="cente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560" w:lineRule="exact"/>
              <w:ind w:firstLine="200"/>
              <w:jc w:val="left"/>
              <w:rPr>
                <w:rFonts w:ascii="宋体"/>
                <w:sz w:val="24"/>
                <w:szCs w:val="24"/>
              </w:rPr>
            </w:pPr>
          </w:p>
        </w:tc>
        <w:tc>
          <w:tcPr>
            <w:tcW w:w="323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楷体" w:hAnsi="楷体" w:eastAsia="楷体" w:cs="楷体"/>
                <w:kern w:val="0"/>
                <w:sz w:val="20"/>
                <w:szCs w:val="20"/>
              </w:rPr>
              <w:t>（七）总计</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eastAsiaTheme="minorEastAsia"/>
              </w:rPr>
            </w:pPr>
            <w:r>
              <w:rPr>
                <w:rFonts w:hint="eastAsia" w:cs="Calibri" w:eastAsiaTheme="minorEastAsia"/>
                <w:kern w:val="0"/>
                <w:sz w:val="20"/>
                <w:szCs w:val="20"/>
              </w:rPr>
              <w:t>14</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hint="eastAsia" w:cs="Calibri" w:eastAsiaTheme="minorEastAsia"/>
                <w:kern w:val="0"/>
                <w:sz w:val="20"/>
                <w:szCs w:val="20"/>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宋体"/>
                <w:lang w:val="en-US" w:eastAsia="zh-CN"/>
              </w:rPr>
            </w:pPr>
            <w:r>
              <w:rPr>
                <w:rFonts w:hint="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hint="eastAsia" w:cs="Calibri" w:eastAsiaTheme="minorEastAsia"/>
                <w:kern w:val="0"/>
                <w:sz w:val="20"/>
                <w:szCs w:val="20"/>
              </w:rPr>
              <w:t>8</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宋体"/>
                <w:lang w:val="en-US" w:eastAsia="zh-CN"/>
              </w:rPr>
            </w:pPr>
            <w:r>
              <w:rPr>
                <w:rFonts w:hint="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宋体"/>
                <w:lang w:val="en-US" w:eastAsia="zh-CN"/>
              </w:rPr>
            </w:pPr>
            <w:r>
              <w:rPr>
                <w:rFonts w:hint="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eastAsiaTheme="minorEastAsia"/>
              </w:rPr>
            </w:pPr>
            <w:r>
              <w:rPr>
                <w:rFonts w:hint="eastAsia" w:cs="Calibri" w:eastAsiaTheme="minorEastAsia"/>
                <w:kern w:val="0"/>
                <w:sz w:val="20"/>
                <w:szCs w:val="20"/>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49"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ind w:firstLine="200"/>
              <w:jc w:val="left"/>
            </w:pPr>
            <w:r>
              <w:rPr>
                <w:rFonts w:hint="eastAsia" w:ascii="宋体" w:hAnsi="宋体" w:cs="宋体"/>
                <w:kern w:val="0"/>
                <w:sz w:val="20"/>
                <w:szCs w:val="20"/>
              </w:rPr>
              <w:t>四、结转下年度继续办理</w:t>
            </w:r>
          </w:p>
        </w:tc>
        <w:tc>
          <w:tcPr>
            <w:tcW w:w="5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6"/>
        <w:shd w:val="clear" w:color="auto" w:fill="FFFFFF"/>
        <w:spacing w:beforeAutospacing="0" w:afterAutospacing="0" w:line="560" w:lineRule="exact"/>
        <w:ind w:firstLine="200"/>
        <w:jc w:val="both"/>
        <w:rPr>
          <w:color w:val="333333"/>
        </w:rPr>
      </w:pPr>
    </w:p>
    <w:p>
      <w:pPr>
        <w:pStyle w:val="6"/>
        <w:shd w:val="clear" w:color="auto" w:fill="FFFFFF"/>
        <w:spacing w:beforeAutospacing="0" w:afterAutospacing="0" w:line="560" w:lineRule="exact"/>
        <w:ind w:firstLine="200"/>
        <w:jc w:val="both"/>
        <w:rPr>
          <w:color w:val="333333"/>
        </w:rPr>
      </w:pPr>
    </w:p>
    <w:p>
      <w:pPr>
        <w:pStyle w:val="6"/>
        <w:shd w:val="clear" w:color="auto" w:fill="FFFFFF"/>
        <w:spacing w:beforeAutospacing="0" w:afterAutospacing="0" w:line="560" w:lineRule="exact"/>
        <w:ind w:firstLine="200"/>
        <w:jc w:val="both"/>
        <w:rPr>
          <w:color w:val="333333"/>
        </w:rPr>
      </w:pPr>
    </w:p>
    <w:p>
      <w:pPr>
        <w:pStyle w:val="6"/>
        <w:shd w:val="clear" w:color="auto" w:fill="FFFFFF"/>
        <w:spacing w:beforeAutospacing="0" w:afterAutospacing="0" w:line="560" w:lineRule="exact"/>
        <w:ind w:firstLine="200"/>
        <w:jc w:val="both"/>
        <w:rPr>
          <w:color w:val="333333"/>
        </w:rPr>
      </w:pPr>
    </w:p>
    <w:p>
      <w:pPr>
        <w:pStyle w:val="6"/>
        <w:shd w:val="clear" w:color="auto" w:fill="FFFFFF"/>
        <w:spacing w:beforeAutospacing="0" w:afterAutospacing="0" w:line="560" w:lineRule="exact"/>
        <w:jc w:val="both"/>
        <w:rPr>
          <w:color w:val="333333"/>
        </w:rPr>
      </w:pPr>
    </w:p>
    <w:p>
      <w:pPr>
        <w:pStyle w:val="6"/>
        <w:shd w:val="clear" w:color="auto" w:fill="FFFFFF"/>
        <w:spacing w:beforeAutospacing="0" w:afterAutospacing="0" w:line="560" w:lineRule="exact"/>
        <w:ind w:firstLine="640" w:firstLineChars="200"/>
        <w:jc w:val="both"/>
        <w:outlineLvl w:val="0"/>
        <w:rPr>
          <w:rFonts w:ascii="宋体" w:hAnsi="宋体" w:cs="宋体"/>
          <w:color w:val="333333"/>
          <w:szCs w:val="24"/>
        </w:rPr>
      </w:pPr>
      <w:r>
        <w:rPr>
          <w:rFonts w:hint="eastAsia" w:ascii="黑体" w:hAnsi="黑体" w:eastAsia="黑体" w:cs="黑体"/>
          <w:bCs/>
          <w:color w:val="333333"/>
          <w:sz w:val="32"/>
          <w:szCs w:val="32"/>
          <w:shd w:val="clear" w:color="auto" w:fill="FFFFFF"/>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eastAsiaTheme="minorEastAsia"/>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eastAsiaTheme="minorEastAsia"/>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eastAsiaTheme="minorEastAsia"/>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eastAsiaTheme="minorEastAsia"/>
                <w:color w:val="000000" w:themeColor="text1"/>
                <w:kern w:val="0"/>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eastAsiaTheme="minorEastAsia"/>
                <w:color w:val="000000" w:themeColor="text1"/>
              </w:rPr>
            </w:pPr>
            <w:r>
              <w:rPr>
                <w:rFonts w:ascii="Times New Roman" w:hAnsi="Times New Roman" w:cs="Times New Roman" w:eastAsiaTheme="minorEastAsia"/>
                <w:color w:val="000000" w:themeColor="text1"/>
                <w:kern w:val="0"/>
                <w:sz w:val="20"/>
                <w:szCs w:val="20"/>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200"/>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ind w:firstLine="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pPr>
        <w:spacing w:line="560" w:lineRule="exact"/>
        <w:ind w:firstLine="200"/>
        <w:rPr>
          <w:rFonts w:ascii="宋体" w:hAnsi="宋体" w:cs="宋体"/>
          <w:color w:val="333333"/>
          <w:sz w:val="24"/>
          <w:szCs w:val="24"/>
        </w:rPr>
      </w:pPr>
    </w:p>
    <w:p>
      <w:pPr>
        <w:spacing w:line="560" w:lineRule="exact"/>
        <w:ind w:firstLine="640" w:firstLineChars="200"/>
        <w:outlineLvl w:val="0"/>
        <w:rPr>
          <w:rFonts w:ascii="黑体" w:hAnsi="仿宋" w:eastAsia="黑体" w:cs="仿宋"/>
          <w:color w:val="000000"/>
          <w:sz w:val="32"/>
          <w:szCs w:val="32"/>
        </w:rPr>
      </w:pPr>
      <w:r>
        <w:rPr>
          <w:rFonts w:hint="eastAsia" w:ascii="黑体" w:hAnsi="仿宋" w:eastAsia="黑体" w:cs="仿宋"/>
          <w:color w:val="000000"/>
          <w:sz w:val="32"/>
          <w:szCs w:val="32"/>
        </w:rPr>
        <w:t>五、存在的主要问题及改进情况</w:t>
      </w:r>
    </w:p>
    <w:p>
      <w:pPr>
        <w:pStyle w:val="6"/>
        <w:spacing w:beforeAutospacing="0" w:afterAutospacing="0" w:line="560" w:lineRule="exact"/>
        <w:ind w:firstLine="640" w:firstLineChars="200"/>
        <w:rPr>
          <w:rFonts w:ascii="仿宋_GB2312" w:hAnsi="仿宋" w:eastAsia="仿宋_GB2312"/>
          <w:color w:val="000000" w:themeColor="text1"/>
          <w:kern w:val="2"/>
          <w:sz w:val="32"/>
          <w:szCs w:val="32"/>
        </w:rPr>
      </w:pPr>
      <w:r>
        <w:rPr>
          <w:rFonts w:hint="eastAsia" w:ascii="仿宋_GB2312" w:hAnsi="仿宋" w:eastAsia="仿宋_GB2312" w:cs="仿宋"/>
          <w:color w:val="000000" w:themeColor="text1"/>
          <w:kern w:val="2"/>
          <w:sz w:val="32"/>
          <w:szCs w:val="32"/>
        </w:rPr>
        <w:t>2019年，我局在大力推进政府信息公开的同时，也存在</w:t>
      </w:r>
      <w:r>
        <w:rPr>
          <w:rFonts w:hint="eastAsia" w:ascii="仿宋_GB2312" w:hAnsi="仿宋" w:eastAsia="仿宋_GB2312" w:cs="仿宋"/>
          <w:color w:val="000000" w:themeColor="text1"/>
          <w:kern w:val="2"/>
          <w:sz w:val="32"/>
          <w:szCs w:val="32"/>
          <w:lang w:val="en-US" w:eastAsia="zh-CN"/>
        </w:rPr>
        <w:t>信息公开相关制度落实力度不足</w:t>
      </w:r>
      <w:r>
        <w:rPr>
          <w:rFonts w:hint="eastAsia" w:ascii="仿宋_GB2312" w:hAnsi="仿宋" w:eastAsia="仿宋_GB2312" w:cs="仿宋"/>
          <w:color w:val="000000" w:themeColor="text1"/>
          <w:kern w:val="2"/>
          <w:sz w:val="32"/>
          <w:szCs w:val="32"/>
        </w:rPr>
        <w:t>、政策解读不够</w:t>
      </w:r>
      <w:r>
        <w:rPr>
          <w:rFonts w:hint="eastAsia" w:ascii="仿宋_GB2312" w:hAnsi="仿宋" w:eastAsia="仿宋_GB2312" w:cs="仿宋"/>
          <w:color w:val="000000" w:themeColor="text1"/>
          <w:kern w:val="2"/>
          <w:sz w:val="32"/>
          <w:szCs w:val="32"/>
          <w:lang w:eastAsia="zh-CN"/>
        </w:rPr>
        <w:t>、</w:t>
      </w:r>
      <w:r>
        <w:rPr>
          <w:rFonts w:hint="eastAsia" w:ascii="仿宋_GB2312" w:hAnsi="仿宋" w:eastAsia="仿宋_GB2312" w:cs="仿宋"/>
          <w:color w:val="000000" w:themeColor="text1"/>
          <w:kern w:val="2"/>
          <w:sz w:val="32"/>
          <w:szCs w:val="32"/>
          <w:lang w:val="en-US" w:eastAsia="zh-CN"/>
        </w:rPr>
        <w:t>新媒体平台传播力不强</w:t>
      </w:r>
      <w:r>
        <w:rPr>
          <w:rFonts w:hint="eastAsia" w:ascii="仿宋_GB2312" w:hAnsi="仿宋" w:eastAsia="仿宋_GB2312" w:cs="仿宋"/>
          <w:color w:val="000000" w:themeColor="text1"/>
          <w:kern w:val="2"/>
          <w:sz w:val="32"/>
          <w:szCs w:val="32"/>
        </w:rPr>
        <w:t>等问题。下一步，我局将进一步</w:t>
      </w:r>
      <w:r>
        <w:rPr>
          <w:rFonts w:hint="eastAsia" w:ascii="仿宋_GB2312" w:hAnsi="仿宋" w:eastAsia="仿宋_GB2312" w:cs="仿宋"/>
          <w:color w:val="000000" w:themeColor="text1"/>
          <w:kern w:val="2"/>
          <w:sz w:val="32"/>
          <w:szCs w:val="32"/>
          <w:lang w:val="en-US" w:eastAsia="zh-CN"/>
        </w:rPr>
        <w:t>抓好信息公开相关制度的落实，让制度成为提升信息公开工作水平的有力抓手；抓好重大</w:t>
      </w:r>
      <w:r>
        <w:rPr>
          <w:rFonts w:hint="eastAsia" w:ascii="仿宋" w:hAnsi="仿宋" w:eastAsia="仿宋" w:cs="仿宋"/>
          <w:color w:val="000000"/>
          <w:sz w:val="32"/>
          <w:szCs w:val="32"/>
          <w:lang w:val="en-US" w:eastAsia="zh-CN"/>
        </w:rPr>
        <w:t>政策文件与解读材料方案</w:t>
      </w:r>
      <w:r>
        <w:rPr>
          <w:rFonts w:hint="eastAsia" w:ascii="仿宋_GB2312" w:hAnsi="仿宋" w:eastAsia="仿宋_GB2312" w:cs="仿宋"/>
          <w:color w:val="000000" w:themeColor="text1"/>
          <w:kern w:val="2"/>
          <w:sz w:val="32"/>
          <w:szCs w:val="32"/>
          <w:lang w:val="en-US" w:eastAsia="zh-CN"/>
        </w:rPr>
        <w:t>“三同步”制度，</w:t>
      </w:r>
      <w:r>
        <w:rPr>
          <w:rFonts w:hint="eastAsia" w:ascii="仿宋_GB2312" w:hAnsi="仿宋" w:eastAsia="仿宋_GB2312" w:cs="仿宋"/>
          <w:color w:val="000000" w:themeColor="text1"/>
          <w:kern w:val="2"/>
          <w:sz w:val="32"/>
          <w:szCs w:val="32"/>
        </w:rPr>
        <w:t>提高政策解读力度</w:t>
      </w:r>
      <w:r>
        <w:rPr>
          <w:rFonts w:hint="eastAsia" w:ascii="仿宋_GB2312" w:hAnsi="仿宋" w:eastAsia="仿宋_GB2312" w:cs="仿宋"/>
          <w:color w:val="000000" w:themeColor="text1"/>
          <w:kern w:val="2"/>
          <w:sz w:val="32"/>
          <w:szCs w:val="32"/>
          <w:lang w:eastAsia="zh-CN"/>
        </w:rPr>
        <w:t>；</w:t>
      </w:r>
      <w:r>
        <w:rPr>
          <w:rFonts w:hint="eastAsia" w:ascii="仿宋_GB2312" w:hAnsi="仿宋" w:eastAsia="仿宋_GB2312" w:cs="仿宋"/>
          <w:color w:val="000000" w:themeColor="text1"/>
          <w:kern w:val="2"/>
          <w:sz w:val="32"/>
          <w:szCs w:val="32"/>
          <w:lang w:val="en-US" w:eastAsia="zh-CN"/>
        </w:rPr>
        <w:t>完善新媒体平台管理制度，进一步提升新媒体平台的“原创度、传播度”。</w:t>
      </w:r>
    </w:p>
    <w:p>
      <w:pPr>
        <w:pStyle w:val="6"/>
        <w:spacing w:beforeAutospacing="0" w:afterAutospacing="0" w:line="560" w:lineRule="exact"/>
        <w:ind w:firstLine="640" w:firstLineChars="200"/>
        <w:outlineLvl w:val="0"/>
        <w:rPr>
          <w:rFonts w:ascii="黑体" w:hAnsi="仿宋" w:eastAsia="黑体" w:cs="仿宋"/>
          <w:color w:val="000000" w:themeColor="text1"/>
          <w:sz w:val="32"/>
          <w:szCs w:val="32"/>
        </w:rPr>
      </w:pPr>
      <w:r>
        <w:rPr>
          <w:rFonts w:hint="eastAsia" w:ascii="黑体" w:hAnsi="仿宋" w:eastAsia="黑体" w:cs="仿宋"/>
          <w:color w:val="000000"/>
          <w:kern w:val="2"/>
          <w:sz w:val="32"/>
          <w:szCs w:val="32"/>
        </w:rPr>
        <w:t>六、其他需要报告的事项</w:t>
      </w:r>
    </w:p>
    <w:p>
      <w:pPr>
        <w:pStyle w:val="6"/>
        <w:spacing w:beforeAutospacing="0" w:afterAutospacing="0" w:line="560" w:lineRule="exact"/>
        <w:ind w:firstLine="640" w:firstLineChars="200"/>
        <w:rPr>
          <w:rFonts w:ascii="仿宋_GB2312" w:hAnsi="仿宋" w:eastAsia="仿宋_GB2312"/>
          <w:color w:val="FF0000"/>
          <w:kern w:val="2"/>
          <w:sz w:val="32"/>
          <w:szCs w:val="32"/>
        </w:rPr>
      </w:pPr>
      <w:r>
        <w:rPr>
          <w:rFonts w:hint="eastAsia" w:ascii="仿宋_GB2312" w:hAnsi="仿宋_GB2312" w:eastAsia="仿宋_GB2312" w:cs="仿宋_GB2312"/>
          <w:color w:val="000000" w:themeColor="text1"/>
          <w:sz w:val="32"/>
          <w:szCs w:val="32"/>
        </w:rPr>
        <w:t>2019年度，我局承办市人大代表建议16件：主办件8件，协办件8件（其中3件为2018年B类件）；我局承办市政协委员提案11件：主办件2件，分办件2件，协办件7件。我局承办的上述市人大代表建议和市政协委员提案已全部办结，</w:t>
      </w:r>
      <w:r>
        <w:rPr>
          <w:rFonts w:hint="eastAsia" w:ascii="仿宋_GB2312" w:hAnsi="仿宋" w:eastAsia="仿宋_GB2312" w:cs="仿宋"/>
          <w:color w:val="000000" w:themeColor="text1"/>
          <w:kern w:val="2"/>
          <w:sz w:val="32"/>
          <w:szCs w:val="32"/>
        </w:rPr>
        <w:t>分别以信函及在人大代表建议平台、政协提案管理平台答复等形式答复了人大代表、政协委员以及主办单位，同时在市政府网站及环保网站公开了人大代表建议和政协提案的答复情况。</w:t>
      </w:r>
    </w:p>
    <w:p>
      <w:pPr>
        <w:pStyle w:val="6"/>
        <w:spacing w:beforeAutospacing="0" w:afterAutospacing="0" w:line="560" w:lineRule="exact"/>
        <w:ind w:firstLine="640" w:firstLineChars="200"/>
        <w:jc w:val="center"/>
        <w:rPr>
          <w:rFonts w:hint="eastAsia" w:ascii="仿宋_GB2312" w:hAnsi="仿宋" w:eastAsia="仿宋_GB2312"/>
          <w:color w:val="000000"/>
          <w:kern w:val="2"/>
          <w:sz w:val="32"/>
          <w:szCs w:val="32"/>
        </w:rPr>
      </w:pPr>
      <w:r>
        <w:rPr>
          <w:rFonts w:hint="eastAsia" w:ascii="仿宋_GB2312" w:hAnsi="仿宋" w:eastAsia="仿宋_GB2312"/>
          <w:color w:val="000000"/>
          <w:kern w:val="2"/>
          <w:sz w:val="32"/>
          <w:szCs w:val="32"/>
        </w:rPr>
        <w:t xml:space="preserve">                </w:t>
      </w:r>
    </w:p>
    <w:p>
      <w:pPr>
        <w:pStyle w:val="6"/>
        <w:spacing w:beforeAutospacing="0" w:afterAutospacing="0" w:line="560" w:lineRule="exact"/>
        <w:ind w:firstLine="640" w:firstLineChars="200"/>
        <w:jc w:val="center"/>
        <w:rPr>
          <w:rFonts w:hint="eastAsia" w:ascii="仿宋_GB2312" w:hAnsi="仿宋" w:eastAsia="仿宋_GB2312"/>
          <w:color w:val="000000"/>
          <w:kern w:val="2"/>
          <w:sz w:val="32"/>
          <w:szCs w:val="32"/>
        </w:rPr>
      </w:pPr>
    </w:p>
    <w:p>
      <w:pPr>
        <w:pStyle w:val="6"/>
        <w:spacing w:beforeAutospacing="0" w:afterAutospacing="0" w:line="560" w:lineRule="exact"/>
        <w:ind w:firstLine="640" w:firstLineChars="200"/>
        <w:jc w:val="center"/>
        <w:rPr>
          <w:rFonts w:hint="eastAsia" w:ascii="仿宋_GB2312" w:hAnsi="仿宋" w:eastAsia="仿宋_GB2312"/>
          <w:color w:val="000000"/>
          <w:kern w:val="2"/>
          <w:sz w:val="32"/>
          <w:szCs w:val="32"/>
        </w:rPr>
      </w:pPr>
    </w:p>
    <w:p>
      <w:pPr>
        <w:pStyle w:val="6"/>
        <w:spacing w:beforeAutospacing="0" w:afterAutospacing="0" w:line="560" w:lineRule="exact"/>
        <w:ind w:firstLine="640" w:firstLineChars="200"/>
        <w:jc w:val="center"/>
        <w:rPr>
          <w:rFonts w:hint="eastAsia" w:ascii="仿宋_GB2312" w:hAnsi="仿宋" w:eastAsia="仿宋_GB2312"/>
          <w:color w:val="000000"/>
          <w:kern w:val="2"/>
          <w:sz w:val="32"/>
          <w:szCs w:val="32"/>
        </w:rPr>
      </w:pPr>
    </w:p>
    <w:p>
      <w:pPr>
        <w:pStyle w:val="6"/>
        <w:spacing w:beforeAutospacing="0" w:afterAutospacing="0" w:line="560" w:lineRule="exact"/>
        <w:ind w:firstLine="640" w:firstLineChars="200"/>
        <w:jc w:val="right"/>
        <w:rPr>
          <w:rFonts w:ascii="仿宋_GB2312" w:hAnsi="仿宋" w:eastAsia="仿宋_GB2312"/>
          <w:color w:val="000000"/>
          <w:kern w:val="2"/>
          <w:sz w:val="32"/>
          <w:szCs w:val="32"/>
        </w:rPr>
      </w:pPr>
      <w:r>
        <w:rPr>
          <w:rFonts w:hint="eastAsia" w:ascii="仿宋_GB2312" w:hAnsi="仿宋" w:eastAsia="仿宋_GB2312"/>
          <w:color w:val="000000"/>
          <w:kern w:val="2"/>
          <w:sz w:val="32"/>
          <w:szCs w:val="32"/>
        </w:rPr>
        <w:t xml:space="preserve">                   赣州市生态环境局</w:t>
      </w:r>
    </w:p>
    <w:p>
      <w:pPr>
        <w:pStyle w:val="6"/>
        <w:spacing w:beforeAutospacing="0" w:afterAutospacing="0" w:line="560" w:lineRule="exact"/>
        <w:ind w:firstLine="640" w:firstLineChars="200"/>
        <w:jc w:val="right"/>
        <w:rPr>
          <w:rFonts w:ascii="仿宋_GB2312" w:hAnsi="仿宋" w:eastAsia="仿宋_GB2312"/>
          <w:color w:val="000000"/>
          <w:kern w:val="2"/>
          <w:sz w:val="32"/>
          <w:szCs w:val="32"/>
        </w:rPr>
      </w:pPr>
      <w:r>
        <w:rPr>
          <w:rFonts w:hint="eastAsia" w:ascii="仿宋_GB2312" w:hAnsi="仿宋" w:eastAsia="仿宋_GB2312"/>
          <w:color w:val="000000"/>
          <w:kern w:val="2"/>
          <w:sz w:val="32"/>
          <w:szCs w:val="32"/>
        </w:rPr>
        <w:t xml:space="preserve">                    2020年1月15日</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6B13"/>
    <w:rsid w:val="00134E71"/>
    <w:rsid w:val="001925BE"/>
    <w:rsid w:val="00204093"/>
    <w:rsid w:val="002F2847"/>
    <w:rsid w:val="003C4B78"/>
    <w:rsid w:val="003D6C73"/>
    <w:rsid w:val="004365C5"/>
    <w:rsid w:val="004C3FFD"/>
    <w:rsid w:val="005F476E"/>
    <w:rsid w:val="006349B3"/>
    <w:rsid w:val="00656549"/>
    <w:rsid w:val="00660EA9"/>
    <w:rsid w:val="006A2059"/>
    <w:rsid w:val="008A6B13"/>
    <w:rsid w:val="00981D60"/>
    <w:rsid w:val="00AB0925"/>
    <w:rsid w:val="00B54B8A"/>
    <w:rsid w:val="00C643BF"/>
    <w:rsid w:val="00D624E2"/>
    <w:rsid w:val="00DD5552"/>
    <w:rsid w:val="00FF4CE9"/>
    <w:rsid w:val="09FD1025"/>
    <w:rsid w:val="0A5B3102"/>
    <w:rsid w:val="0AFE7E39"/>
    <w:rsid w:val="0B301016"/>
    <w:rsid w:val="0D830971"/>
    <w:rsid w:val="0D8D729F"/>
    <w:rsid w:val="12702359"/>
    <w:rsid w:val="12997429"/>
    <w:rsid w:val="17A739A0"/>
    <w:rsid w:val="1854292F"/>
    <w:rsid w:val="19235D02"/>
    <w:rsid w:val="1D1E6195"/>
    <w:rsid w:val="20CE78BB"/>
    <w:rsid w:val="21EE766E"/>
    <w:rsid w:val="28CF152D"/>
    <w:rsid w:val="2E380E1F"/>
    <w:rsid w:val="2ECA737E"/>
    <w:rsid w:val="2F8A536C"/>
    <w:rsid w:val="307B0568"/>
    <w:rsid w:val="30FD6985"/>
    <w:rsid w:val="3B5541CC"/>
    <w:rsid w:val="43866FB1"/>
    <w:rsid w:val="43CF5459"/>
    <w:rsid w:val="45DD3270"/>
    <w:rsid w:val="4AFD278B"/>
    <w:rsid w:val="4B3A3827"/>
    <w:rsid w:val="4CC06B83"/>
    <w:rsid w:val="53403C25"/>
    <w:rsid w:val="536F67CD"/>
    <w:rsid w:val="562103C2"/>
    <w:rsid w:val="571C3C0F"/>
    <w:rsid w:val="62790A13"/>
    <w:rsid w:val="64404403"/>
    <w:rsid w:val="66253995"/>
    <w:rsid w:val="6D607BBD"/>
    <w:rsid w:val="6D7C55B3"/>
    <w:rsid w:val="6E464644"/>
    <w:rsid w:val="70FE66AE"/>
    <w:rsid w:val="728923BF"/>
    <w:rsid w:val="72BD6383"/>
    <w:rsid w:val="72F33440"/>
    <w:rsid w:val="73E065B4"/>
    <w:rsid w:val="73F87AA5"/>
    <w:rsid w:val="757F090E"/>
    <w:rsid w:val="76051CF0"/>
    <w:rsid w:val="79677A83"/>
    <w:rsid w:val="7D1E72F1"/>
    <w:rsid w:val="7D6954E2"/>
    <w:rsid w:val="7E911E6C"/>
    <w:rsid w:val="7FE9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kern w:val="0"/>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800080"/>
      <w:u w:val="none"/>
    </w:rPr>
  </w:style>
  <w:style w:type="character" w:styleId="10">
    <w:name w:val="Hyperlink"/>
    <w:basedOn w:val="8"/>
    <w:qFormat/>
    <w:uiPriority w:val="0"/>
    <w:rPr>
      <w:color w:val="333333"/>
      <w:u w:val="none"/>
    </w:rPr>
  </w:style>
  <w:style w:type="character" w:customStyle="1" w:styleId="11">
    <w:name w:val="bi_aqiarea_wuran"/>
    <w:basedOn w:val="8"/>
    <w:qFormat/>
    <w:uiPriority w:val="0"/>
    <w:rPr>
      <w:color w:val="FFFFFF"/>
    </w:rPr>
  </w:style>
  <w:style w:type="character" w:customStyle="1" w:styleId="12">
    <w:name w:val="wuranlevel_1"/>
    <w:basedOn w:val="8"/>
    <w:qFormat/>
    <w:uiPriority w:val="0"/>
    <w:rPr>
      <w:shd w:val="clear" w:color="auto" w:fill="6EB720"/>
    </w:rPr>
  </w:style>
  <w:style w:type="character" w:customStyle="1" w:styleId="13">
    <w:name w:val="wuranlevel_2"/>
    <w:basedOn w:val="8"/>
    <w:qFormat/>
    <w:uiPriority w:val="0"/>
    <w:rPr>
      <w:shd w:val="clear" w:color="auto" w:fill="D6C60F"/>
    </w:rPr>
  </w:style>
  <w:style w:type="character" w:customStyle="1" w:styleId="14">
    <w:name w:val="wuranlevel_3"/>
    <w:basedOn w:val="8"/>
    <w:qFormat/>
    <w:uiPriority w:val="0"/>
    <w:rPr>
      <w:shd w:val="clear" w:color="auto" w:fill="EC7E22"/>
    </w:rPr>
  </w:style>
  <w:style w:type="character" w:customStyle="1" w:styleId="15">
    <w:name w:val="wuranlevel_4"/>
    <w:basedOn w:val="8"/>
    <w:qFormat/>
    <w:uiPriority w:val="0"/>
    <w:rPr>
      <w:shd w:val="clear" w:color="auto" w:fill="CE3333"/>
    </w:rPr>
  </w:style>
  <w:style w:type="character" w:customStyle="1" w:styleId="16">
    <w:name w:val="wuranlevel_5"/>
    <w:basedOn w:val="8"/>
    <w:qFormat/>
    <w:uiPriority w:val="0"/>
    <w:rPr>
      <w:shd w:val="clear" w:color="auto" w:fill="A61D71"/>
    </w:rPr>
  </w:style>
  <w:style w:type="character" w:customStyle="1" w:styleId="17">
    <w:name w:val="wuranlevel_6"/>
    <w:basedOn w:val="8"/>
    <w:qFormat/>
    <w:uiPriority w:val="0"/>
    <w:rPr>
      <w:shd w:val="clear" w:color="auto" w:fill="420045"/>
    </w:rPr>
  </w:style>
  <w:style w:type="character" w:customStyle="1" w:styleId="18">
    <w:name w:val="bi_aqiarea_tips"/>
    <w:basedOn w:val="8"/>
    <w:qFormat/>
    <w:uiPriority w:val="0"/>
    <w:rPr>
      <w:color w:val="666666"/>
    </w:rPr>
  </w:style>
  <w:style w:type="character" w:customStyle="1" w:styleId="19">
    <w:name w:val="页眉 Char"/>
    <w:basedOn w:val="8"/>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575</Words>
  <Characters>3281</Characters>
  <Lines>27</Lines>
  <Paragraphs>7</Paragraphs>
  <TotalTime>2</TotalTime>
  <ScaleCrop>false</ScaleCrop>
  <LinksUpToDate>false</LinksUpToDate>
  <CharactersWithSpaces>3849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2020-01-16T03:04:00Z</cp:lastPrinted>
  <dcterms:modified xsi:type="dcterms:W3CDTF">2021-05-11T23:01:09Z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