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CEA4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附件4</w:t>
      </w:r>
    </w:p>
    <w:p w14:paraId="60B5F4E6">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市技术创新中心考核评估表</w:t>
      </w:r>
      <w:r>
        <w:rPr>
          <w:rFonts w:hint="eastAsia" w:ascii="方正小标宋简体" w:hAnsi="方正小标宋简体" w:eastAsia="方正小标宋简体" w:cs="方正小标宋简体"/>
          <w:color w:val="000000"/>
          <w:kern w:val="2"/>
          <w:sz w:val="44"/>
          <w:szCs w:val="44"/>
          <w:shd w:val="clear" w:color="auto" w:fill="FFFFFF"/>
          <w:lang w:val="en-US" w:eastAsia="zh-CN" w:bidi="ar-SA"/>
        </w:rPr>
        <w:t>（近3年数据）</w:t>
      </w:r>
      <w:bookmarkEnd w:id="0"/>
    </w:p>
    <w:p w14:paraId="669FDE34">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平台名称：</w:t>
      </w:r>
    </w:p>
    <w:tbl>
      <w:tblPr>
        <w:tblStyle w:val="5"/>
        <w:tblW w:w="10075"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337"/>
        <w:gridCol w:w="5838"/>
        <w:gridCol w:w="875"/>
        <w:gridCol w:w="837"/>
      </w:tblGrid>
      <w:tr w14:paraId="0137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88" w:type="dxa"/>
            <w:noWrap w:val="0"/>
            <w:vAlign w:val="center"/>
          </w:tcPr>
          <w:p w14:paraId="21A993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评估方面</w:t>
            </w:r>
          </w:p>
        </w:tc>
        <w:tc>
          <w:tcPr>
            <w:tcW w:w="1337" w:type="dxa"/>
            <w:noWrap w:val="0"/>
            <w:vAlign w:val="center"/>
          </w:tcPr>
          <w:p w14:paraId="491E74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评估指标</w:t>
            </w:r>
          </w:p>
        </w:tc>
        <w:tc>
          <w:tcPr>
            <w:tcW w:w="5838" w:type="dxa"/>
            <w:noWrap w:val="0"/>
            <w:vAlign w:val="center"/>
          </w:tcPr>
          <w:p w14:paraId="355501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评估内容</w:t>
            </w:r>
          </w:p>
        </w:tc>
        <w:tc>
          <w:tcPr>
            <w:tcW w:w="875" w:type="dxa"/>
            <w:noWrap w:val="0"/>
            <w:vAlign w:val="center"/>
          </w:tcPr>
          <w:p w14:paraId="1A3D3F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分值</w:t>
            </w:r>
          </w:p>
        </w:tc>
        <w:tc>
          <w:tcPr>
            <w:tcW w:w="837" w:type="dxa"/>
            <w:noWrap w:val="0"/>
            <w:vAlign w:val="center"/>
          </w:tcPr>
          <w:p w14:paraId="6E7256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得分</w:t>
            </w:r>
          </w:p>
        </w:tc>
      </w:tr>
      <w:tr w14:paraId="3A62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restart"/>
            <w:noWrap w:val="0"/>
            <w:vAlign w:val="center"/>
          </w:tcPr>
          <w:p w14:paraId="16C5C9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研发创新成果</w:t>
            </w:r>
          </w:p>
          <w:p w14:paraId="0E312F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w:t>
            </w:r>
            <w:r>
              <w:rPr>
                <w:rFonts w:hint="eastAsia" w:ascii="仿宋_GB2312" w:hAnsi="仿宋_GB2312" w:eastAsia="仿宋_GB2312" w:cs="仿宋_GB2312"/>
                <w:b/>
                <w:bCs/>
                <w:sz w:val="24"/>
                <w:szCs w:val="24"/>
                <w:vertAlign w:val="baseline"/>
                <w:lang w:val="en-US" w:eastAsia="zh-CN"/>
              </w:rPr>
              <w:t>30分</w:t>
            </w:r>
            <w:r>
              <w:rPr>
                <w:rFonts w:hint="eastAsia" w:ascii="仿宋_GB2312" w:hAnsi="仿宋_GB2312" w:eastAsia="仿宋_GB2312" w:cs="仿宋_GB2312"/>
                <w:b/>
                <w:bCs/>
                <w:sz w:val="24"/>
                <w:szCs w:val="24"/>
                <w:vertAlign w:val="baseline"/>
                <w:lang w:eastAsia="zh-CN"/>
              </w:rPr>
              <w:t>）</w:t>
            </w:r>
          </w:p>
        </w:tc>
        <w:tc>
          <w:tcPr>
            <w:tcW w:w="1337" w:type="dxa"/>
            <w:vMerge w:val="restart"/>
            <w:noWrap w:val="0"/>
            <w:vAlign w:val="center"/>
          </w:tcPr>
          <w:p w14:paraId="2BF6F6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科研项目</w:t>
            </w:r>
          </w:p>
        </w:tc>
        <w:tc>
          <w:tcPr>
            <w:tcW w:w="5838" w:type="dxa"/>
            <w:noWrap w:val="0"/>
            <w:vAlign w:val="center"/>
          </w:tcPr>
          <w:p w14:paraId="699B9EE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牵头国家级科研项目每项8分（除加分项中的重大项目外），参与单位按牵头的30%计分</w:t>
            </w:r>
          </w:p>
        </w:tc>
        <w:tc>
          <w:tcPr>
            <w:tcW w:w="875" w:type="dxa"/>
            <w:vMerge w:val="restart"/>
            <w:noWrap w:val="0"/>
            <w:vAlign w:val="center"/>
          </w:tcPr>
          <w:p w14:paraId="79A8C0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上限</w:t>
            </w:r>
          </w:p>
          <w:p w14:paraId="05676E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c>
          <w:tcPr>
            <w:tcW w:w="837" w:type="dxa"/>
            <w:vMerge w:val="restart"/>
            <w:noWrap w:val="0"/>
            <w:vAlign w:val="center"/>
          </w:tcPr>
          <w:p w14:paraId="27078B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r>
      <w:tr w14:paraId="0DB2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0A9929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p>
        </w:tc>
        <w:tc>
          <w:tcPr>
            <w:tcW w:w="1337" w:type="dxa"/>
            <w:vMerge w:val="continue"/>
            <w:noWrap w:val="0"/>
            <w:vAlign w:val="center"/>
          </w:tcPr>
          <w:p w14:paraId="20F733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5838" w:type="dxa"/>
            <w:noWrap w:val="0"/>
            <w:vAlign w:val="center"/>
          </w:tcPr>
          <w:p w14:paraId="306DEEA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牵头省级科研项目每项5分（除加分项中的重大项目外），参与单位按牵头的30%计分</w:t>
            </w:r>
          </w:p>
        </w:tc>
        <w:tc>
          <w:tcPr>
            <w:tcW w:w="875" w:type="dxa"/>
            <w:vMerge w:val="continue"/>
            <w:noWrap w:val="0"/>
            <w:vAlign w:val="center"/>
          </w:tcPr>
          <w:p w14:paraId="7DD279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c>
          <w:tcPr>
            <w:tcW w:w="837" w:type="dxa"/>
            <w:vMerge w:val="continue"/>
            <w:noWrap w:val="0"/>
            <w:vAlign w:val="center"/>
          </w:tcPr>
          <w:p w14:paraId="28F502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4AA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163EA5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p>
        </w:tc>
        <w:tc>
          <w:tcPr>
            <w:tcW w:w="1337" w:type="dxa"/>
            <w:vMerge w:val="continue"/>
            <w:noWrap w:val="0"/>
            <w:vAlign w:val="center"/>
          </w:tcPr>
          <w:p w14:paraId="4BCA84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c>
          <w:tcPr>
            <w:tcW w:w="5838" w:type="dxa"/>
            <w:noWrap w:val="0"/>
            <w:vAlign w:val="center"/>
          </w:tcPr>
          <w:p w14:paraId="443B5BC5">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牵头市级科研项目每项2分（其中“科技+医疗”项目1分；市重点研发重点项目、“揭榜挂帅”项目、市科技成果熟化与工程化项目每项3分），参与单位按牵头的30%计分</w:t>
            </w:r>
          </w:p>
        </w:tc>
        <w:tc>
          <w:tcPr>
            <w:tcW w:w="875" w:type="dxa"/>
            <w:vMerge w:val="continue"/>
            <w:noWrap w:val="0"/>
            <w:vAlign w:val="center"/>
          </w:tcPr>
          <w:p w14:paraId="3F19E1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c>
          <w:tcPr>
            <w:tcW w:w="837" w:type="dxa"/>
            <w:vMerge w:val="continue"/>
            <w:noWrap w:val="0"/>
            <w:vAlign w:val="center"/>
          </w:tcPr>
          <w:p w14:paraId="4D3D47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08B3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noWrap w:val="0"/>
            <w:vAlign w:val="center"/>
          </w:tcPr>
          <w:p w14:paraId="19CC42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p>
        </w:tc>
        <w:tc>
          <w:tcPr>
            <w:tcW w:w="1337" w:type="dxa"/>
            <w:vMerge w:val="continue"/>
            <w:noWrap w:val="0"/>
            <w:vAlign w:val="center"/>
          </w:tcPr>
          <w:p w14:paraId="749371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c>
          <w:tcPr>
            <w:tcW w:w="5838" w:type="dxa"/>
            <w:noWrap w:val="0"/>
            <w:vAlign w:val="center"/>
          </w:tcPr>
          <w:p w14:paraId="094692FA">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牵头横向项目每项1分，参与单位按牵头的30%计分</w:t>
            </w:r>
          </w:p>
        </w:tc>
        <w:tc>
          <w:tcPr>
            <w:tcW w:w="875" w:type="dxa"/>
            <w:vMerge w:val="continue"/>
            <w:noWrap w:val="0"/>
            <w:vAlign w:val="center"/>
          </w:tcPr>
          <w:p w14:paraId="3E890F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c>
          <w:tcPr>
            <w:tcW w:w="837" w:type="dxa"/>
            <w:vMerge w:val="continue"/>
            <w:noWrap w:val="0"/>
            <w:vAlign w:val="center"/>
          </w:tcPr>
          <w:p w14:paraId="6AE3B4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4EC0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43DCE2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p>
        </w:tc>
        <w:tc>
          <w:tcPr>
            <w:tcW w:w="1337" w:type="dxa"/>
            <w:vMerge w:val="restart"/>
            <w:noWrap w:val="0"/>
            <w:vAlign w:val="center"/>
          </w:tcPr>
          <w:p w14:paraId="5F8C53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科技奖励</w:t>
            </w:r>
          </w:p>
        </w:tc>
        <w:tc>
          <w:tcPr>
            <w:tcW w:w="5838" w:type="dxa"/>
            <w:noWrap w:val="0"/>
            <w:vAlign w:val="center"/>
          </w:tcPr>
          <w:p w14:paraId="2BFDD2F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国家部委局科技奖第一完成单位或个人一等</w:t>
            </w:r>
            <w:r>
              <w:rPr>
                <w:rFonts w:hint="eastAsia" w:ascii="仿宋_GB2312" w:hAnsi="仿宋_GB2312" w:eastAsia="仿宋_GB2312" w:cs="仿宋_GB2312"/>
                <w:sz w:val="24"/>
                <w:szCs w:val="24"/>
                <w:vertAlign w:val="baseline"/>
                <w:lang w:val="en-US" w:eastAsia="zh-CN"/>
              </w:rPr>
              <w:t>10</w:t>
            </w:r>
            <w:r>
              <w:rPr>
                <w:rFonts w:hint="eastAsia" w:ascii="仿宋_GB2312" w:hAnsi="仿宋_GB2312" w:eastAsia="仿宋_GB2312" w:cs="仿宋_GB2312"/>
                <w:sz w:val="24"/>
                <w:szCs w:val="24"/>
                <w:vertAlign w:val="baseline"/>
                <w:lang w:eastAsia="zh-CN"/>
              </w:rPr>
              <w:t>分、二等</w:t>
            </w:r>
            <w:r>
              <w:rPr>
                <w:rFonts w:hint="eastAsia" w:ascii="仿宋_GB2312" w:hAnsi="仿宋_GB2312" w:eastAsia="仿宋_GB2312" w:cs="仿宋_GB2312"/>
                <w:sz w:val="24"/>
                <w:szCs w:val="24"/>
                <w:vertAlign w:val="baseline"/>
                <w:lang w:val="en-US" w:eastAsia="zh-CN"/>
              </w:rPr>
              <w:t>8</w:t>
            </w:r>
            <w:r>
              <w:rPr>
                <w:rFonts w:hint="eastAsia" w:ascii="仿宋_GB2312" w:hAnsi="仿宋_GB2312" w:eastAsia="仿宋_GB2312" w:cs="仿宋_GB2312"/>
                <w:sz w:val="24"/>
                <w:szCs w:val="24"/>
                <w:vertAlign w:val="baseline"/>
                <w:lang w:eastAsia="zh-CN"/>
              </w:rPr>
              <w:t>分，其他完成单位或个人一等</w:t>
            </w:r>
            <w:r>
              <w:rPr>
                <w:rFonts w:hint="eastAsia" w:ascii="仿宋_GB2312" w:hAnsi="仿宋_GB2312" w:eastAsia="仿宋_GB2312" w:cs="仿宋_GB2312"/>
                <w:sz w:val="24"/>
                <w:szCs w:val="24"/>
                <w:vertAlign w:val="baseline"/>
                <w:lang w:val="en-US" w:eastAsia="zh-CN"/>
              </w:rPr>
              <w:t>5</w:t>
            </w:r>
            <w:r>
              <w:rPr>
                <w:rFonts w:hint="eastAsia" w:ascii="仿宋_GB2312" w:hAnsi="仿宋_GB2312" w:eastAsia="仿宋_GB2312" w:cs="仿宋_GB2312"/>
                <w:sz w:val="24"/>
                <w:szCs w:val="24"/>
                <w:vertAlign w:val="baseline"/>
                <w:lang w:eastAsia="zh-CN"/>
              </w:rPr>
              <w:t>分、二等</w:t>
            </w: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eastAsia="zh-CN"/>
              </w:rPr>
              <w:t>分；国家专利金奖</w:t>
            </w:r>
            <w:r>
              <w:rPr>
                <w:rFonts w:hint="eastAsia" w:ascii="仿宋_GB2312" w:hAnsi="仿宋_GB2312" w:eastAsia="仿宋_GB2312" w:cs="仿宋_GB2312"/>
                <w:sz w:val="24"/>
                <w:szCs w:val="24"/>
                <w:vertAlign w:val="baseline"/>
                <w:lang w:val="en-US" w:eastAsia="zh-CN"/>
              </w:rPr>
              <w:t>3分、银奖2分、优秀奖1分</w:t>
            </w:r>
          </w:p>
        </w:tc>
        <w:tc>
          <w:tcPr>
            <w:tcW w:w="875" w:type="dxa"/>
            <w:vMerge w:val="restart"/>
            <w:noWrap w:val="0"/>
            <w:vAlign w:val="center"/>
          </w:tcPr>
          <w:p w14:paraId="671A80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上限</w:t>
            </w:r>
          </w:p>
          <w:p w14:paraId="7BEB2A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c>
          <w:tcPr>
            <w:tcW w:w="837" w:type="dxa"/>
            <w:vMerge w:val="restart"/>
            <w:noWrap w:val="0"/>
            <w:vAlign w:val="center"/>
          </w:tcPr>
          <w:p w14:paraId="55286D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r>
      <w:tr w14:paraId="4B0F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3E04EFFA">
            <w:pPr>
              <w:keepNext w:val="0"/>
              <w:keepLines w:val="0"/>
              <w:pageBreakBefore w:val="0"/>
              <w:widowControl w:val="0"/>
              <w:kinsoku/>
              <w:wordWrap/>
              <w:overflowPunct/>
              <w:topLinePunct w:val="0"/>
              <w:autoSpaceDE/>
              <w:autoSpaceDN/>
              <w:bidi w:val="0"/>
              <w:adjustRightInd/>
              <w:snapToGrid/>
              <w:spacing w:line="300" w:lineRule="exact"/>
              <w:jc w:val="both"/>
              <w:textAlignment w:val="auto"/>
              <w:rPr>
                <w:sz w:val="24"/>
                <w:szCs w:val="24"/>
              </w:rPr>
            </w:pPr>
          </w:p>
        </w:tc>
        <w:tc>
          <w:tcPr>
            <w:tcW w:w="1337" w:type="dxa"/>
            <w:vMerge w:val="continue"/>
            <w:noWrap w:val="0"/>
            <w:vAlign w:val="center"/>
          </w:tcPr>
          <w:p w14:paraId="6A5FCF44">
            <w:pPr>
              <w:keepNext w:val="0"/>
              <w:keepLines w:val="0"/>
              <w:pageBreakBefore w:val="0"/>
              <w:widowControl w:val="0"/>
              <w:kinsoku/>
              <w:wordWrap/>
              <w:overflowPunct/>
              <w:topLinePunct w:val="0"/>
              <w:autoSpaceDE/>
              <w:autoSpaceDN/>
              <w:bidi w:val="0"/>
              <w:adjustRightInd/>
              <w:snapToGrid/>
              <w:spacing w:line="300" w:lineRule="exact"/>
              <w:jc w:val="both"/>
              <w:textAlignment w:val="auto"/>
              <w:rPr>
                <w:sz w:val="24"/>
                <w:szCs w:val="24"/>
              </w:rPr>
            </w:pPr>
          </w:p>
        </w:tc>
        <w:tc>
          <w:tcPr>
            <w:tcW w:w="5838" w:type="dxa"/>
            <w:noWrap w:val="0"/>
            <w:vAlign w:val="center"/>
          </w:tcPr>
          <w:p w14:paraId="4580539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省自然科学奖、技术发明奖、科学技术进步奖第一完成单位或个人特等</w:t>
            </w:r>
            <w:r>
              <w:rPr>
                <w:rFonts w:hint="eastAsia" w:ascii="仿宋_GB2312" w:hAnsi="仿宋_GB2312" w:eastAsia="仿宋_GB2312" w:cs="仿宋_GB2312"/>
                <w:sz w:val="24"/>
                <w:szCs w:val="24"/>
                <w:vertAlign w:val="baseline"/>
                <w:lang w:val="en-US" w:eastAsia="zh-CN"/>
              </w:rPr>
              <w:t>8、</w:t>
            </w:r>
            <w:r>
              <w:rPr>
                <w:rFonts w:hint="eastAsia" w:ascii="仿宋_GB2312" w:hAnsi="仿宋_GB2312" w:eastAsia="仿宋_GB2312" w:cs="仿宋_GB2312"/>
                <w:sz w:val="24"/>
                <w:szCs w:val="24"/>
                <w:vertAlign w:val="baseline"/>
                <w:lang w:eastAsia="zh-CN"/>
              </w:rPr>
              <w:t>一等</w:t>
            </w:r>
            <w:r>
              <w:rPr>
                <w:rFonts w:hint="eastAsia" w:ascii="仿宋_GB2312" w:hAnsi="仿宋_GB2312" w:eastAsia="仿宋_GB2312" w:cs="仿宋_GB2312"/>
                <w:sz w:val="24"/>
                <w:szCs w:val="24"/>
                <w:vertAlign w:val="baseline"/>
                <w:lang w:val="en-US" w:eastAsia="zh-CN"/>
              </w:rPr>
              <w:t>6</w:t>
            </w:r>
            <w:r>
              <w:rPr>
                <w:rFonts w:hint="eastAsia" w:ascii="仿宋_GB2312" w:hAnsi="仿宋_GB2312" w:eastAsia="仿宋_GB2312" w:cs="仿宋_GB2312"/>
                <w:sz w:val="24"/>
                <w:szCs w:val="24"/>
                <w:vertAlign w:val="baseline"/>
                <w:lang w:eastAsia="zh-CN"/>
              </w:rPr>
              <w:t>分、二等</w:t>
            </w: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lang w:eastAsia="zh-CN"/>
              </w:rPr>
              <w:t>分，其他完成单位或个人特等</w:t>
            </w:r>
            <w:r>
              <w:rPr>
                <w:rFonts w:hint="eastAsia" w:ascii="仿宋_GB2312" w:hAnsi="仿宋_GB2312" w:eastAsia="仿宋_GB2312" w:cs="仿宋_GB2312"/>
                <w:sz w:val="24"/>
                <w:szCs w:val="24"/>
                <w:vertAlign w:val="baseline"/>
                <w:lang w:val="en-US" w:eastAsia="zh-CN"/>
              </w:rPr>
              <w:t>4分</w:t>
            </w:r>
            <w:r>
              <w:rPr>
                <w:rFonts w:hint="eastAsia" w:ascii="仿宋_GB2312" w:hAnsi="仿宋_GB2312" w:eastAsia="仿宋_GB2312" w:cs="仿宋_GB2312"/>
                <w:sz w:val="24"/>
                <w:szCs w:val="24"/>
                <w:vertAlign w:val="baseline"/>
                <w:lang w:eastAsia="zh-CN"/>
              </w:rPr>
              <w:t>、一等3分、二等2分；省科学技术特别贡献奖每项</w:t>
            </w:r>
            <w:r>
              <w:rPr>
                <w:rFonts w:hint="eastAsia" w:ascii="仿宋_GB2312" w:hAnsi="仿宋_GB2312" w:eastAsia="仿宋_GB2312" w:cs="仿宋_GB2312"/>
                <w:sz w:val="24"/>
                <w:szCs w:val="24"/>
                <w:vertAlign w:val="baseline"/>
                <w:lang w:val="en-US" w:eastAsia="zh-CN"/>
              </w:rPr>
              <w:t>8分，</w:t>
            </w:r>
            <w:r>
              <w:rPr>
                <w:rFonts w:hint="eastAsia" w:ascii="仿宋_GB2312" w:hAnsi="仿宋_GB2312" w:eastAsia="仿宋_GB2312" w:cs="仿宋_GB2312"/>
                <w:sz w:val="24"/>
                <w:szCs w:val="24"/>
                <w:vertAlign w:val="baseline"/>
                <w:lang w:eastAsia="zh-CN"/>
              </w:rPr>
              <w:t>其他完成单位或个人每项</w:t>
            </w:r>
            <w:r>
              <w:rPr>
                <w:rFonts w:hint="eastAsia" w:ascii="仿宋_GB2312" w:hAnsi="仿宋_GB2312" w:eastAsia="仿宋_GB2312" w:cs="仿宋_GB2312"/>
                <w:sz w:val="24"/>
                <w:szCs w:val="24"/>
                <w:vertAlign w:val="baseline"/>
                <w:lang w:val="en-US" w:eastAsia="zh-CN"/>
              </w:rPr>
              <w:t>5分</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省科学技术青年奖每项4分，</w:t>
            </w:r>
            <w:r>
              <w:rPr>
                <w:rFonts w:hint="eastAsia" w:ascii="仿宋_GB2312" w:hAnsi="仿宋_GB2312" w:eastAsia="仿宋_GB2312" w:cs="仿宋_GB2312"/>
                <w:sz w:val="24"/>
                <w:szCs w:val="24"/>
                <w:vertAlign w:val="baseline"/>
                <w:lang w:eastAsia="zh-CN"/>
              </w:rPr>
              <w:t>其他完成单位或个人每项</w:t>
            </w:r>
            <w:r>
              <w:rPr>
                <w:rFonts w:hint="eastAsia" w:ascii="仿宋_GB2312" w:hAnsi="仿宋_GB2312" w:eastAsia="仿宋_GB2312" w:cs="仿宋_GB2312"/>
                <w:sz w:val="24"/>
                <w:szCs w:val="24"/>
                <w:vertAlign w:val="baseline"/>
                <w:lang w:val="en-US" w:eastAsia="zh-CN"/>
              </w:rPr>
              <w:t>2分；</w:t>
            </w:r>
            <w:r>
              <w:rPr>
                <w:rFonts w:hint="eastAsia" w:ascii="仿宋_GB2312" w:hAnsi="仿宋_GB2312" w:eastAsia="仿宋_GB2312" w:cs="仿宋_GB2312"/>
                <w:sz w:val="24"/>
                <w:szCs w:val="24"/>
                <w:vertAlign w:val="baseline"/>
                <w:lang w:val="en" w:eastAsia="zh-CN"/>
              </w:rPr>
              <w:t>其他省级科学技术奖</w:t>
            </w:r>
            <w:r>
              <w:rPr>
                <w:rFonts w:hint="eastAsia" w:ascii="仿宋_GB2312" w:hAnsi="仿宋_GB2312" w:eastAsia="仿宋_GB2312" w:cs="仿宋_GB2312"/>
                <w:sz w:val="24"/>
                <w:szCs w:val="24"/>
                <w:vertAlign w:val="baseline"/>
                <w:lang w:eastAsia="zh-CN"/>
              </w:rPr>
              <w:t>第一完成单位或个人</w:t>
            </w:r>
            <w:r>
              <w:rPr>
                <w:rFonts w:hint="eastAsia" w:ascii="仿宋_GB2312" w:hAnsi="仿宋_GB2312" w:eastAsia="仿宋_GB2312" w:cs="仿宋_GB2312"/>
                <w:sz w:val="24"/>
                <w:szCs w:val="24"/>
                <w:vertAlign w:val="baseline"/>
                <w:lang w:val="en-US" w:eastAsia="zh-CN"/>
              </w:rPr>
              <w:t>特等4分、</w:t>
            </w:r>
            <w:r>
              <w:rPr>
                <w:rFonts w:hint="eastAsia" w:ascii="仿宋_GB2312" w:hAnsi="仿宋_GB2312" w:eastAsia="仿宋_GB2312" w:cs="仿宋_GB2312"/>
                <w:sz w:val="24"/>
                <w:szCs w:val="24"/>
                <w:vertAlign w:val="baseline"/>
                <w:lang w:eastAsia="zh-CN"/>
              </w:rPr>
              <w:t>一等</w:t>
            </w: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eastAsia="zh-CN"/>
              </w:rPr>
              <w:t>分、二等</w:t>
            </w: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lang w:eastAsia="zh-CN"/>
              </w:rPr>
              <w:t>分</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eastAsia="zh-CN"/>
              </w:rPr>
              <w:t>其他完成单位或个人</w:t>
            </w:r>
            <w:r>
              <w:rPr>
                <w:rFonts w:hint="eastAsia" w:ascii="仿宋_GB2312" w:hAnsi="仿宋_GB2312" w:eastAsia="仿宋_GB2312" w:cs="仿宋_GB2312"/>
                <w:sz w:val="24"/>
                <w:szCs w:val="24"/>
                <w:vertAlign w:val="baseline"/>
                <w:lang w:val="en-US" w:eastAsia="zh-CN"/>
              </w:rPr>
              <w:t>特等2分、</w:t>
            </w:r>
            <w:r>
              <w:rPr>
                <w:rFonts w:hint="eastAsia" w:ascii="仿宋_GB2312" w:hAnsi="仿宋_GB2312" w:eastAsia="仿宋_GB2312" w:cs="仿宋_GB2312"/>
                <w:sz w:val="24"/>
                <w:szCs w:val="24"/>
                <w:vertAlign w:val="baseline"/>
                <w:lang w:eastAsia="zh-CN"/>
              </w:rPr>
              <w:t>一等</w:t>
            </w:r>
            <w:r>
              <w:rPr>
                <w:rFonts w:hint="eastAsia" w:ascii="仿宋_GB2312" w:hAnsi="仿宋_GB2312" w:eastAsia="仿宋_GB2312" w:cs="仿宋_GB2312"/>
                <w:sz w:val="24"/>
                <w:szCs w:val="24"/>
                <w:vertAlign w:val="baseline"/>
                <w:lang w:val="en-US" w:eastAsia="zh-CN"/>
              </w:rPr>
              <w:t>1.5</w:t>
            </w:r>
            <w:r>
              <w:rPr>
                <w:rFonts w:hint="eastAsia" w:ascii="仿宋_GB2312" w:hAnsi="仿宋_GB2312" w:eastAsia="仿宋_GB2312" w:cs="仿宋_GB2312"/>
                <w:sz w:val="24"/>
                <w:szCs w:val="24"/>
                <w:vertAlign w:val="baseline"/>
                <w:lang w:eastAsia="zh-CN"/>
              </w:rPr>
              <w:t>分、二等</w:t>
            </w:r>
            <w:r>
              <w:rPr>
                <w:rFonts w:hint="eastAsia" w:ascii="仿宋_GB2312" w:hAnsi="仿宋_GB2312" w:eastAsia="仿宋_GB2312" w:cs="仿宋_GB2312"/>
                <w:sz w:val="24"/>
                <w:szCs w:val="24"/>
                <w:vertAlign w:val="baseline"/>
                <w:lang w:val="en-US" w:eastAsia="zh-CN"/>
              </w:rPr>
              <w:t>1分</w:t>
            </w:r>
          </w:p>
        </w:tc>
        <w:tc>
          <w:tcPr>
            <w:tcW w:w="875" w:type="dxa"/>
            <w:vMerge w:val="continue"/>
            <w:noWrap w:val="0"/>
            <w:vAlign w:val="center"/>
          </w:tcPr>
          <w:p w14:paraId="7D4C68A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p>
        </w:tc>
        <w:tc>
          <w:tcPr>
            <w:tcW w:w="837" w:type="dxa"/>
            <w:vMerge w:val="continue"/>
            <w:noWrap w:val="0"/>
            <w:vAlign w:val="center"/>
          </w:tcPr>
          <w:p w14:paraId="2608FBB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p>
        </w:tc>
      </w:tr>
      <w:tr w14:paraId="2B01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6BE4F4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p>
        </w:tc>
        <w:tc>
          <w:tcPr>
            <w:tcW w:w="1337" w:type="dxa"/>
            <w:vMerge w:val="restart"/>
            <w:noWrap w:val="0"/>
            <w:vAlign w:val="center"/>
          </w:tcPr>
          <w:p w14:paraId="3756E5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知识产权创造与应用</w:t>
            </w:r>
          </w:p>
        </w:tc>
        <w:tc>
          <w:tcPr>
            <w:tcW w:w="5838" w:type="dxa"/>
            <w:noWrap w:val="0"/>
            <w:vAlign w:val="center"/>
          </w:tcPr>
          <w:p w14:paraId="16B5990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申请发明专利每项1分，其中授权发明专利每项2分；其他知识产权每项1分</w:t>
            </w:r>
          </w:p>
        </w:tc>
        <w:tc>
          <w:tcPr>
            <w:tcW w:w="875" w:type="dxa"/>
            <w:vMerge w:val="restart"/>
            <w:noWrap w:val="0"/>
            <w:vAlign w:val="center"/>
          </w:tcPr>
          <w:p w14:paraId="4190FF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3D2973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p w14:paraId="083A56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p>
        </w:tc>
        <w:tc>
          <w:tcPr>
            <w:tcW w:w="837" w:type="dxa"/>
            <w:vMerge w:val="restart"/>
            <w:noWrap w:val="0"/>
            <w:vAlign w:val="center"/>
          </w:tcPr>
          <w:p w14:paraId="773831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r>
      <w:tr w14:paraId="0464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6DC7F0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p>
        </w:tc>
        <w:tc>
          <w:tcPr>
            <w:tcW w:w="1337" w:type="dxa"/>
            <w:vMerge w:val="continue"/>
            <w:noWrap w:val="0"/>
            <w:vAlign w:val="center"/>
          </w:tcPr>
          <w:p w14:paraId="4D2E5A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c>
          <w:tcPr>
            <w:tcW w:w="5838" w:type="dxa"/>
            <w:noWrap w:val="0"/>
            <w:vAlign w:val="center"/>
          </w:tcPr>
          <w:p w14:paraId="23276F9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通过技术转让、许可、作价入股等方式实现知识产权产业化，取得显著经济效益或社会效益得3分</w:t>
            </w:r>
          </w:p>
        </w:tc>
        <w:tc>
          <w:tcPr>
            <w:tcW w:w="875" w:type="dxa"/>
            <w:vMerge w:val="continue"/>
            <w:noWrap w:val="0"/>
            <w:vAlign w:val="center"/>
          </w:tcPr>
          <w:p w14:paraId="264513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c>
          <w:tcPr>
            <w:tcW w:w="837" w:type="dxa"/>
            <w:vMerge w:val="continue"/>
            <w:noWrap w:val="0"/>
            <w:vAlign w:val="center"/>
          </w:tcPr>
          <w:p w14:paraId="5B48C2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r>
      <w:tr w14:paraId="59DB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0609AF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p>
        </w:tc>
        <w:tc>
          <w:tcPr>
            <w:tcW w:w="1337" w:type="dxa"/>
            <w:vMerge w:val="continue"/>
            <w:noWrap w:val="0"/>
            <w:vAlign w:val="center"/>
          </w:tcPr>
          <w:p w14:paraId="01E954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c>
          <w:tcPr>
            <w:tcW w:w="5838" w:type="dxa"/>
            <w:noWrap w:val="0"/>
            <w:vAlign w:val="center"/>
          </w:tcPr>
          <w:p w14:paraId="7310C9C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牵头制定国际标准每项</w:t>
            </w:r>
            <w:r>
              <w:rPr>
                <w:rFonts w:hint="eastAsia" w:ascii="仿宋_GB2312" w:hAnsi="仿宋_GB2312" w:eastAsia="仿宋_GB2312" w:cs="仿宋_GB2312"/>
                <w:sz w:val="24"/>
                <w:szCs w:val="24"/>
                <w:vertAlign w:val="baseline"/>
                <w:lang w:val="en-US" w:eastAsia="zh-CN"/>
              </w:rPr>
              <w:t>4分、国家标准每项3分、行业、地方标准2分，参与单位按牵头的30%计分</w:t>
            </w:r>
          </w:p>
        </w:tc>
        <w:tc>
          <w:tcPr>
            <w:tcW w:w="875" w:type="dxa"/>
            <w:vMerge w:val="continue"/>
            <w:noWrap w:val="0"/>
            <w:vAlign w:val="center"/>
          </w:tcPr>
          <w:p w14:paraId="7303A2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p>
        </w:tc>
        <w:tc>
          <w:tcPr>
            <w:tcW w:w="837" w:type="dxa"/>
            <w:noWrap w:val="0"/>
            <w:vAlign w:val="center"/>
          </w:tcPr>
          <w:p w14:paraId="0FD2C7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r>
      <w:tr w14:paraId="63B7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restart"/>
            <w:noWrap w:val="0"/>
            <w:vAlign w:val="center"/>
          </w:tcPr>
          <w:p w14:paraId="2482D8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人才队伍建设</w:t>
            </w:r>
          </w:p>
          <w:p w14:paraId="135BE7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（15分）</w:t>
            </w:r>
          </w:p>
        </w:tc>
        <w:tc>
          <w:tcPr>
            <w:tcW w:w="1337" w:type="dxa"/>
            <w:noWrap w:val="0"/>
            <w:vAlign w:val="center"/>
          </w:tcPr>
          <w:p w14:paraId="36F35F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团队结构</w:t>
            </w:r>
          </w:p>
        </w:tc>
        <w:tc>
          <w:tcPr>
            <w:tcW w:w="5838" w:type="dxa"/>
            <w:noWrap w:val="0"/>
            <w:vAlign w:val="center"/>
          </w:tcPr>
          <w:p w14:paraId="5F23092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具有本科及以上学历或中级及以上职称的专业技术人员占中心固定总人数的比例达到</w:t>
            </w:r>
            <w:r>
              <w:rPr>
                <w:rFonts w:hint="eastAsia" w:ascii="仿宋_GB2312" w:hAnsi="仿宋_GB2312" w:eastAsia="仿宋_GB2312" w:cs="仿宋_GB2312"/>
                <w:sz w:val="24"/>
                <w:szCs w:val="24"/>
                <w:vertAlign w:val="baseline"/>
                <w:lang w:val="en-US" w:eastAsia="zh-CN"/>
              </w:rPr>
              <w:t>80%得5分，每降低5%扣1分，不足50%不得分</w:t>
            </w:r>
          </w:p>
        </w:tc>
        <w:tc>
          <w:tcPr>
            <w:tcW w:w="875" w:type="dxa"/>
            <w:noWrap w:val="0"/>
            <w:vAlign w:val="center"/>
          </w:tcPr>
          <w:p w14:paraId="118038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057CAC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5分</w:t>
            </w:r>
          </w:p>
        </w:tc>
        <w:tc>
          <w:tcPr>
            <w:tcW w:w="837" w:type="dxa"/>
            <w:noWrap w:val="0"/>
            <w:vAlign w:val="center"/>
          </w:tcPr>
          <w:p w14:paraId="068F00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r>
      <w:tr w14:paraId="4A5B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6B7C9A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p>
        </w:tc>
        <w:tc>
          <w:tcPr>
            <w:tcW w:w="1337" w:type="dxa"/>
            <w:vMerge w:val="restart"/>
            <w:noWrap w:val="0"/>
            <w:vAlign w:val="center"/>
          </w:tcPr>
          <w:p w14:paraId="217998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人才引育</w:t>
            </w:r>
          </w:p>
        </w:tc>
        <w:tc>
          <w:tcPr>
            <w:tcW w:w="5838" w:type="dxa"/>
            <w:noWrap w:val="0"/>
            <w:vAlign w:val="center"/>
          </w:tcPr>
          <w:p w14:paraId="754D35B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引进博士或</w:t>
            </w:r>
            <w:r>
              <w:rPr>
                <w:rFonts w:hint="eastAsia" w:ascii="仿宋_GB2312" w:hAnsi="仿宋_GB2312" w:eastAsia="仿宋_GB2312" w:cs="仿宋_GB2312"/>
                <w:sz w:val="24"/>
                <w:szCs w:val="24"/>
                <w:vertAlign w:val="baseline"/>
                <w:lang w:val="en-US" w:eastAsia="zh-CN"/>
              </w:rPr>
              <w:t>具有</w:t>
            </w:r>
            <w:r>
              <w:rPr>
                <w:rFonts w:hint="eastAsia" w:ascii="仿宋_GB2312" w:hAnsi="仿宋_GB2312" w:eastAsia="仿宋_GB2312" w:cs="仿宋_GB2312"/>
                <w:sz w:val="24"/>
                <w:szCs w:val="24"/>
                <w:vertAlign w:val="baseline"/>
                <w:lang w:val="en" w:eastAsia="zh-CN"/>
              </w:rPr>
              <w:t>高级专业技术职务（职称）人员每人</w:t>
            </w:r>
            <w:r>
              <w:rPr>
                <w:rFonts w:hint="eastAsia" w:ascii="仿宋_GB2312" w:hAnsi="仿宋_GB2312" w:eastAsia="仿宋_GB2312" w:cs="仿宋_GB2312"/>
                <w:sz w:val="24"/>
                <w:szCs w:val="24"/>
                <w:vertAlign w:val="baseline"/>
                <w:lang w:val="en-US" w:eastAsia="zh-CN"/>
              </w:rPr>
              <w:t>2分、硕士每人1分（柔性引进、挂靠平台人员等其他类别人员相应得一半分）</w:t>
            </w:r>
          </w:p>
        </w:tc>
        <w:tc>
          <w:tcPr>
            <w:tcW w:w="875" w:type="dxa"/>
            <w:vMerge w:val="restart"/>
            <w:noWrap w:val="0"/>
            <w:vAlign w:val="center"/>
          </w:tcPr>
          <w:p w14:paraId="26035D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1EB831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10分</w:t>
            </w:r>
          </w:p>
        </w:tc>
        <w:tc>
          <w:tcPr>
            <w:tcW w:w="837" w:type="dxa"/>
            <w:vMerge w:val="restart"/>
            <w:noWrap w:val="0"/>
            <w:vAlign w:val="center"/>
          </w:tcPr>
          <w:p w14:paraId="167BD5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r>
      <w:tr w14:paraId="64B6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5978E238">
            <w:pPr>
              <w:keepNext w:val="0"/>
              <w:keepLines w:val="0"/>
              <w:pageBreakBefore w:val="0"/>
              <w:widowControl w:val="0"/>
              <w:kinsoku/>
              <w:wordWrap/>
              <w:overflowPunct/>
              <w:topLinePunct w:val="0"/>
              <w:autoSpaceDE/>
              <w:autoSpaceDN/>
              <w:bidi w:val="0"/>
              <w:adjustRightInd/>
              <w:snapToGrid/>
              <w:spacing w:line="300" w:lineRule="exact"/>
              <w:jc w:val="both"/>
              <w:textAlignment w:val="auto"/>
              <w:rPr>
                <w:sz w:val="24"/>
                <w:szCs w:val="24"/>
              </w:rPr>
            </w:pPr>
          </w:p>
        </w:tc>
        <w:tc>
          <w:tcPr>
            <w:tcW w:w="1337" w:type="dxa"/>
            <w:vMerge w:val="continue"/>
            <w:noWrap w:val="0"/>
            <w:vAlign w:val="center"/>
          </w:tcPr>
          <w:p w14:paraId="4AFBC57C">
            <w:pPr>
              <w:keepNext w:val="0"/>
              <w:keepLines w:val="0"/>
              <w:pageBreakBefore w:val="0"/>
              <w:widowControl w:val="0"/>
              <w:kinsoku/>
              <w:wordWrap/>
              <w:overflowPunct/>
              <w:topLinePunct w:val="0"/>
              <w:autoSpaceDE/>
              <w:autoSpaceDN/>
              <w:bidi w:val="0"/>
              <w:adjustRightInd/>
              <w:snapToGrid/>
              <w:spacing w:line="300" w:lineRule="exact"/>
              <w:jc w:val="both"/>
              <w:textAlignment w:val="auto"/>
              <w:rPr>
                <w:sz w:val="24"/>
                <w:szCs w:val="24"/>
              </w:rPr>
            </w:pPr>
          </w:p>
        </w:tc>
        <w:tc>
          <w:tcPr>
            <w:tcW w:w="5838" w:type="dxa"/>
            <w:noWrap w:val="0"/>
            <w:vAlign w:val="center"/>
          </w:tcPr>
          <w:p w14:paraId="48FCBC5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制定了完善的人才培养计划和引进策略，包括与高校、科研院所合作培养人才，建立人才激励机制，并取得较好效果，得2分</w:t>
            </w:r>
          </w:p>
        </w:tc>
        <w:tc>
          <w:tcPr>
            <w:tcW w:w="875" w:type="dxa"/>
            <w:vMerge w:val="continue"/>
            <w:noWrap w:val="0"/>
            <w:vAlign w:val="center"/>
          </w:tcPr>
          <w:p w14:paraId="4B7FC88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p>
        </w:tc>
        <w:tc>
          <w:tcPr>
            <w:tcW w:w="837" w:type="dxa"/>
            <w:vMerge w:val="continue"/>
            <w:noWrap w:val="0"/>
            <w:vAlign w:val="center"/>
          </w:tcPr>
          <w:p w14:paraId="11CD09C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p>
        </w:tc>
      </w:tr>
      <w:tr w14:paraId="19AD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restart"/>
            <w:noWrap w:val="0"/>
            <w:vAlign w:val="center"/>
          </w:tcPr>
          <w:p w14:paraId="6CAC51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经济技术效益</w:t>
            </w:r>
          </w:p>
          <w:p w14:paraId="0C055E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w:t>
            </w:r>
            <w:r>
              <w:rPr>
                <w:rFonts w:hint="eastAsia" w:ascii="仿宋_GB2312" w:hAnsi="仿宋_GB2312" w:eastAsia="仿宋_GB2312" w:cs="仿宋_GB2312"/>
                <w:b/>
                <w:bCs/>
                <w:sz w:val="24"/>
                <w:szCs w:val="24"/>
                <w:vertAlign w:val="baseline"/>
                <w:lang w:val="en-US" w:eastAsia="zh-CN"/>
              </w:rPr>
              <w:t>30分</w:t>
            </w:r>
            <w:r>
              <w:rPr>
                <w:rFonts w:hint="eastAsia" w:ascii="仿宋_GB2312" w:hAnsi="仿宋_GB2312" w:eastAsia="仿宋_GB2312" w:cs="仿宋_GB2312"/>
                <w:b/>
                <w:bCs/>
                <w:sz w:val="24"/>
                <w:szCs w:val="24"/>
                <w:vertAlign w:val="baseline"/>
                <w:lang w:eastAsia="zh-CN"/>
              </w:rPr>
              <w:t>）</w:t>
            </w:r>
          </w:p>
        </w:tc>
        <w:tc>
          <w:tcPr>
            <w:tcW w:w="1337" w:type="dxa"/>
            <w:noWrap w:val="0"/>
            <w:vAlign w:val="center"/>
          </w:tcPr>
          <w:p w14:paraId="13836D7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技术成果</w:t>
            </w:r>
          </w:p>
          <w:p w14:paraId="529138B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转化</w:t>
            </w:r>
          </w:p>
        </w:tc>
        <w:tc>
          <w:tcPr>
            <w:tcW w:w="5838" w:type="dxa"/>
            <w:noWrap w:val="0"/>
            <w:vAlign w:val="center"/>
          </w:tcPr>
          <w:p w14:paraId="27F0AC82">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成果转化合同成交总额每</w:t>
            </w:r>
            <w:r>
              <w:rPr>
                <w:rFonts w:hint="eastAsia" w:ascii="仿宋_GB2312" w:hAnsi="仿宋_GB2312" w:eastAsia="仿宋_GB2312" w:cs="仿宋_GB2312"/>
                <w:sz w:val="24"/>
                <w:szCs w:val="24"/>
                <w:vertAlign w:val="baseline"/>
                <w:lang w:val="en-US" w:eastAsia="zh-CN"/>
              </w:rPr>
              <w:t>20万元1分</w:t>
            </w:r>
          </w:p>
        </w:tc>
        <w:tc>
          <w:tcPr>
            <w:tcW w:w="875" w:type="dxa"/>
            <w:noWrap w:val="0"/>
            <w:vAlign w:val="center"/>
          </w:tcPr>
          <w:p w14:paraId="6DA35E6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7DB50B0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c>
          <w:tcPr>
            <w:tcW w:w="837" w:type="dxa"/>
            <w:noWrap w:val="0"/>
            <w:vAlign w:val="center"/>
          </w:tcPr>
          <w:p w14:paraId="3AA5FF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r>
      <w:tr w14:paraId="101D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59A503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p>
        </w:tc>
        <w:tc>
          <w:tcPr>
            <w:tcW w:w="1337" w:type="dxa"/>
            <w:noWrap w:val="0"/>
            <w:vAlign w:val="center"/>
          </w:tcPr>
          <w:p w14:paraId="7EDE68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技术转移与服务</w:t>
            </w:r>
          </w:p>
        </w:tc>
        <w:tc>
          <w:tcPr>
            <w:tcW w:w="5838" w:type="dxa"/>
            <w:noWrap w:val="0"/>
            <w:vAlign w:val="center"/>
          </w:tcPr>
          <w:p w14:paraId="24F1ABF5">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与高校、科研院所、企业建立广泛合作关系得</w:t>
            </w:r>
            <w:r>
              <w:rPr>
                <w:rFonts w:hint="eastAsia" w:ascii="仿宋_GB2312" w:hAnsi="仿宋_GB2312" w:eastAsia="仿宋_GB2312" w:cs="仿宋_GB2312"/>
                <w:sz w:val="24"/>
                <w:szCs w:val="24"/>
                <w:vertAlign w:val="baseline"/>
                <w:lang w:val="en-US" w:eastAsia="zh-CN"/>
              </w:rPr>
              <w:t>3分；每为1家企业提供技术支持与服务得1分；帮助企业解决技术难题，获得显著经济效益得3分</w:t>
            </w:r>
          </w:p>
        </w:tc>
        <w:tc>
          <w:tcPr>
            <w:tcW w:w="875" w:type="dxa"/>
            <w:noWrap w:val="0"/>
            <w:vAlign w:val="center"/>
          </w:tcPr>
          <w:p w14:paraId="1303D51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7A9A222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c>
          <w:tcPr>
            <w:tcW w:w="837" w:type="dxa"/>
            <w:noWrap w:val="0"/>
            <w:vAlign w:val="center"/>
          </w:tcPr>
          <w:p w14:paraId="5B8286A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r>
      <w:tr w14:paraId="235D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1859E9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p>
        </w:tc>
        <w:tc>
          <w:tcPr>
            <w:tcW w:w="1337" w:type="dxa"/>
            <w:noWrap w:val="0"/>
            <w:vAlign w:val="center"/>
          </w:tcPr>
          <w:p w14:paraId="7EF8B92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科技成果转化案例</w:t>
            </w:r>
          </w:p>
        </w:tc>
        <w:tc>
          <w:tcPr>
            <w:tcW w:w="5838" w:type="dxa"/>
            <w:noWrap w:val="0"/>
            <w:vAlign w:val="center"/>
          </w:tcPr>
          <w:p w14:paraId="181A6BAE">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每提供</w:t>
            </w:r>
            <w:r>
              <w:rPr>
                <w:rFonts w:hint="eastAsia" w:ascii="仿宋_GB2312" w:hAnsi="仿宋_GB2312" w:eastAsia="仿宋_GB2312" w:cs="仿宋_GB2312"/>
                <w:sz w:val="24"/>
                <w:szCs w:val="24"/>
                <w:vertAlign w:val="baseline"/>
                <w:lang w:val="en-US" w:eastAsia="zh-CN"/>
              </w:rPr>
              <w:t>1个成果科技成果转化案例，在行业内产生较大影响的2分</w:t>
            </w:r>
          </w:p>
        </w:tc>
        <w:tc>
          <w:tcPr>
            <w:tcW w:w="875" w:type="dxa"/>
            <w:noWrap w:val="0"/>
            <w:vAlign w:val="center"/>
          </w:tcPr>
          <w:p w14:paraId="4A88709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0699875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c>
          <w:tcPr>
            <w:tcW w:w="837" w:type="dxa"/>
            <w:noWrap w:val="0"/>
            <w:vAlign w:val="center"/>
          </w:tcPr>
          <w:p w14:paraId="425DDC5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r>
      <w:tr w14:paraId="2336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restart"/>
            <w:noWrap w:val="0"/>
            <w:vAlign w:val="center"/>
          </w:tcPr>
          <w:p w14:paraId="782908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val="en-US" w:eastAsia="zh-CN"/>
              </w:rPr>
              <w:t>研发条件保障</w:t>
            </w:r>
          </w:p>
          <w:p w14:paraId="106EBD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w:t>
            </w:r>
            <w:r>
              <w:rPr>
                <w:rFonts w:hint="eastAsia" w:ascii="仿宋_GB2312" w:hAnsi="仿宋_GB2312" w:eastAsia="仿宋_GB2312" w:cs="仿宋_GB2312"/>
                <w:b/>
                <w:bCs/>
                <w:sz w:val="24"/>
                <w:szCs w:val="24"/>
                <w:vertAlign w:val="baseline"/>
                <w:lang w:val="en-US" w:eastAsia="zh-CN"/>
              </w:rPr>
              <w:t>15分</w:t>
            </w:r>
            <w:r>
              <w:rPr>
                <w:rFonts w:hint="eastAsia" w:ascii="仿宋_GB2312" w:hAnsi="仿宋_GB2312" w:eastAsia="仿宋_GB2312" w:cs="仿宋_GB2312"/>
                <w:b/>
                <w:bCs/>
                <w:sz w:val="24"/>
                <w:szCs w:val="24"/>
                <w:vertAlign w:val="baseline"/>
                <w:lang w:eastAsia="zh-CN"/>
              </w:rPr>
              <w:t>）</w:t>
            </w:r>
          </w:p>
        </w:tc>
        <w:tc>
          <w:tcPr>
            <w:tcW w:w="1337" w:type="dxa"/>
            <w:noWrap w:val="0"/>
            <w:vAlign w:val="center"/>
          </w:tcPr>
          <w:p w14:paraId="0A2A32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专用实验场地面积</w:t>
            </w:r>
          </w:p>
        </w:tc>
        <w:tc>
          <w:tcPr>
            <w:tcW w:w="5838" w:type="dxa"/>
            <w:noWrap w:val="0"/>
            <w:vAlign w:val="center"/>
          </w:tcPr>
          <w:p w14:paraId="219DEEA3">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相对固定，</w:t>
            </w:r>
            <w:r>
              <w:rPr>
                <w:rFonts w:hint="eastAsia" w:ascii="仿宋_GB2312" w:hAnsi="仿宋_GB2312" w:eastAsia="仿宋_GB2312" w:cs="仿宋_GB2312"/>
                <w:bCs/>
                <w:color w:val="000000"/>
                <w:sz w:val="24"/>
                <w:szCs w:val="24"/>
                <w:lang w:val="en-US" w:eastAsia="zh-CN"/>
              </w:rPr>
              <w:t>200</w:t>
            </w:r>
            <w:r>
              <w:rPr>
                <w:rFonts w:hint="eastAsia" w:ascii="仿宋_GB2312" w:hAnsi="仿宋_GB2312" w:eastAsia="仿宋_GB2312" w:cs="仿宋_GB2312"/>
                <w:bCs/>
                <w:color w:val="000000"/>
                <w:sz w:val="24"/>
                <w:szCs w:val="24"/>
              </w:rPr>
              <w:t>平方米为3分，每增加</w:t>
            </w:r>
            <w:r>
              <w:rPr>
                <w:rFonts w:hint="eastAsia" w:ascii="仿宋_GB2312" w:hAnsi="仿宋_GB2312" w:eastAsia="仿宋_GB2312" w:cs="仿宋_GB2312"/>
                <w:bCs/>
                <w:color w:val="000000"/>
                <w:sz w:val="24"/>
                <w:szCs w:val="24"/>
                <w:lang w:eastAsia="zh-CN"/>
              </w:rPr>
              <w:t>（减少）</w:t>
            </w: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00平米增加</w:t>
            </w:r>
            <w:r>
              <w:rPr>
                <w:rFonts w:hint="eastAsia" w:ascii="仿宋_GB2312" w:hAnsi="仿宋_GB2312" w:eastAsia="仿宋_GB2312" w:cs="仿宋_GB2312"/>
                <w:bCs/>
                <w:color w:val="000000"/>
                <w:sz w:val="24"/>
                <w:szCs w:val="24"/>
                <w:lang w:eastAsia="zh-CN"/>
              </w:rPr>
              <w:t>（减）</w:t>
            </w:r>
            <w:r>
              <w:rPr>
                <w:rFonts w:hint="eastAsia" w:ascii="仿宋_GB2312" w:hAnsi="仿宋_GB2312" w:eastAsia="仿宋_GB2312" w:cs="仿宋_GB2312"/>
                <w:bCs/>
                <w:color w:val="000000"/>
                <w:sz w:val="24"/>
                <w:szCs w:val="24"/>
              </w:rPr>
              <w:t>1分</w:t>
            </w:r>
          </w:p>
        </w:tc>
        <w:tc>
          <w:tcPr>
            <w:tcW w:w="875" w:type="dxa"/>
            <w:noWrap w:val="0"/>
            <w:vAlign w:val="center"/>
          </w:tcPr>
          <w:p w14:paraId="75BE0E1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7C2E07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4分</w:t>
            </w:r>
          </w:p>
        </w:tc>
        <w:tc>
          <w:tcPr>
            <w:tcW w:w="837" w:type="dxa"/>
            <w:noWrap w:val="0"/>
            <w:vAlign w:val="center"/>
          </w:tcPr>
          <w:p w14:paraId="5253428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r>
      <w:tr w14:paraId="7F27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1B86C0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vertAlign w:val="baseline"/>
                <w:lang w:eastAsia="zh-CN"/>
              </w:rPr>
            </w:pPr>
          </w:p>
        </w:tc>
        <w:tc>
          <w:tcPr>
            <w:tcW w:w="1337" w:type="dxa"/>
            <w:noWrap w:val="0"/>
            <w:vAlign w:val="center"/>
          </w:tcPr>
          <w:p w14:paraId="4E1476D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仪器设备</w:t>
            </w:r>
          </w:p>
        </w:tc>
        <w:tc>
          <w:tcPr>
            <w:tcW w:w="5838" w:type="dxa"/>
            <w:noWrap w:val="0"/>
            <w:vAlign w:val="center"/>
          </w:tcPr>
          <w:p w14:paraId="6A724644">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价值</w:t>
            </w:r>
            <w:r>
              <w:rPr>
                <w:rFonts w:hint="eastAsia" w:ascii="仿宋_GB2312" w:hAnsi="仿宋_GB2312" w:eastAsia="仿宋_GB2312" w:cs="仿宋_GB2312"/>
                <w:sz w:val="24"/>
                <w:szCs w:val="24"/>
                <w:vertAlign w:val="baseline"/>
                <w:lang w:val="en-US" w:eastAsia="zh-CN"/>
              </w:rPr>
              <w:t>300</w:t>
            </w:r>
            <w:r>
              <w:rPr>
                <w:rFonts w:hint="default" w:ascii="仿宋_GB2312" w:hAnsi="仿宋_GB2312" w:eastAsia="仿宋_GB2312" w:cs="仿宋_GB2312"/>
                <w:sz w:val="24"/>
                <w:szCs w:val="24"/>
                <w:vertAlign w:val="baseline"/>
                <w:lang w:val="en-US" w:eastAsia="zh-CN"/>
              </w:rPr>
              <w:t>万元为3分，每增加</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减少</w:t>
            </w:r>
            <w:r>
              <w:rPr>
                <w:rFonts w:hint="eastAsia" w:ascii="仿宋_GB2312" w:hAnsi="仿宋_GB2312" w:eastAsia="仿宋_GB2312" w:cs="仿宋_GB2312"/>
                <w:sz w:val="24"/>
                <w:szCs w:val="24"/>
                <w:vertAlign w:val="baseline"/>
                <w:lang w:val="en-US" w:eastAsia="zh-CN"/>
              </w:rPr>
              <w:t>）1</w:t>
            </w:r>
            <w:r>
              <w:rPr>
                <w:rFonts w:hint="default" w:ascii="仿宋_GB2312" w:hAnsi="仿宋_GB2312" w:eastAsia="仿宋_GB2312" w:cs="仿宋_GB2312"/>
                <w:sz w:val="24"/>
                <w:szCs w:val="24"/>
                <w:vertAlign w:val="baseline"/>
                <w:lang w:val="en-US" w:eastAsia="zh-CN"/>
              </w:rPr>
              <w:t>00万元增加（减）1分；仪器设备</w:t>
            </w:r>
            <w:r>
              <w:rPr>
                <w:rFonts w:hint="eastAsia" w:ascii="仿宋_GB2312" w:hAnsi="仿宋_GB2312" w:eastAsia="仿宋_GB2312" w:cs="仿宋_GB2312"/>
                <w:sz w:val="24"/>
                <w:szCs w:val="24"/>
                <w:vertAlign w:val="baseline"/>
                <w:lang w:val="en-US" w:eastAsia="zh-CN"/>
              </w:rPr>
              <w:t>已纳入</w:t>
            </w:r>
            <w:r>
              <w:rPr>
                <w:rFonts w:hint="default" w:ascii="仿宋_GB2312" w:hAnsi="仿宋_GB2312" w:eastAsia="仿宋_GB2312" w:cs="仿宋_GB2312"/>
                <w:sz w:val="24"/>
                <w:szCs w:val="24"/>
                <w:vertAlign w:val="baseline"/>
                <w:lang w:val="en-US" w:eastAsia="zh-CN"/>
              </w:rPr>
              <w:t>省</w:t>
            </w:r>
            <w:r>
              <w:rPr>
                <w:rFonts w:hint="eastAsia" w:ascii="仿宋_GB2312" w:hAnsi="仿宋_GB2312" w:eastAsia="仿宋_GB2312" w:cs="仿宋_GB2312"/>
                <w:sz w:val="24"/>
                <w:szCs w:val="24"/>
                <w:vertAlign w:val="baseline"/>
                <w:lang w:val="en-US" w:eastAsia="zh-CN"/>
              </w:rPr>
              <w:t>大型仪器开放</w:t>
            </w:r>
            <w:r>
              <w:rPr>
                <w:rFonts w:hint="default" w:ascii="仿宋_GB2312" w:hAnsi="仿宋_GB2312" w:eastAsia="仿宋_GB2312" w:cs="仿宋_GB2312"/>
                <w:sz w:val="24"/>
                <w:szCs w:val="24"/>
                <w:vertAlign w:val="baseline"/>
                <w:lang w:val="en-US" w:eastAsia="zh-CN"/>
              </w:rPr>
              <w:t>共享</w:t>
            </w:r>
            <w:r>
              <w:rPr>
                <w:rFonts w:hint="eastAsia" w:ascii="仿宋_GB2312" w:hAnsi="仿宋_GB2312" w:eastAsia="仿宋_GB2312" w:cs="仿宋_GB2312"/>
                <w:sz w:val="24"/>
                <w:szCs w:val="24"/>
                <w:vertAlign w:val="baseline"/>
                <w:lang w:val="en-US" w:eastAsia="zh-CN"/>
              </w:rPr>
              <w:t>服务</w:t>
            </w:r>
            <w:r>
              <w:rPr>
                <w:rFonts w:hint="default" w:ascii="仿宋_GB2312" w:hAnsi="仿宋_GB2312" w:eastAsia="仿宋_GB2312" w:cs="仿宋_GB2312"/>
                <w:sz w:val="24"/>
                <w:szCs w:val="24"/>
                <w:vertAlign w:val="baseline"/>
                <w:lang w:val="en-US" w:eastAsia="zh-CN"/>
              </w:rPr>
              <w:t>平台</w:t>
            </w:r>
            <w:r>
              <w:rPr>
                <w:rFonts w:hint="eastAsia" w:ascii="仿宋_GB2312" w:hAnsi="仿宋_GB2312" w:eastAsia="仿宋_GB2312" w:cs="仿宋_GB2312"/>
                <w:sz w:val="24"/>
                <w:szCs w:val="24"/>
                <w:vertAlign w:val="baseline"/>
                <w:lang w:val="en-US" w:eastAsia="zh-CN"/>
              </w:rPr>
              <w:t>2分</w:t>
            </w:r>
          </w:p>
        </w:tc>
        <w:tc>
          <w:tcPr>
            <w:tcW w:w="875" w:type="dxa"/>
            <w:noWrap w:val="0"/>
            <w:vAlign w:val="center"/>
          </w:tcPr>
          <w:p w14:paraId="22530C8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43499F8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6分</w:t>
            </w:r>
          </w:p>
        </w:tc>
        <w:tc>
          <w:tcPr>
            <w:tcW w:w="837" w:type="dxa"/>
            <w:noWrap w:val="0"/>
            <w:vAlign w:val="center"/>
          </w:tcPr>
          <w:p w14:paraId="677DC3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r>
      <w:tr w14:paraId="6E18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7E0182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vertAlign w:val="baseline"/>
                <w:lang w:eastAsia="zh-CN"/>
              </w:rPr>
            </w:pPr>
          </w:p>
        </w:tc>
        <w:tc>
          <w:tcPr>
            <w:tcW w:w="1337" w:type="dxa"/>
            <w:noWrap w:val="0"/>
            <w:vAlign w:val="center"/>
          </w:tcPr>
          <w:p w14:paraId="1C644F2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sz w:val="24"/>
                <w:szCs w:val="24"/>
                <w:vertAlign w:val="baseline"/>
                <w:lang w:val="en" w:eastAsia="zh-CN"/>
              </w:rPr>
              <w:t>经费支持</w:t>
            </w:r>
          </w:p>
        </w:tc>
        <w:tc>
          <w:tcPr>
            <w:tcW w:w="5838" w:type="dxa"/>
            <w:noWrap w:val="0"/>
            <w:vAlign w:val="center"/>
          </w:tcPr>
          <w:p w14:paraId="44162D34">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依托单位投入经费总额500万元（含）以上，包括获得纵向项目经费和横向项目经费等，得5分</w:t>
            </w:r>
          </w:p>
        </w:tc>
        <w:tc>
          <w:tcPr>
            <w:tcW w:w="875" w:type="dxa"/>
            <w:noWrap w:val="0"/>
            <w:vAlign w:val="center"/>
          </w:tcPr>
          <w:p w14:paraId="6D941C9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7CA07E6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5分</w:t>
            </w:r>
          </w:p>
        </w:tc>
        <w:tc>
          <w:tcPr>
            <w:tcW w:w="837" w:type="dxa"/>
            <w:noWrap w:val="0"/>
            <w:vAlign w:val="center"/>
          </w:tcPr>
          <w:p w14:paraId="3131EE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r>
      <w:tr w14:paraId="1CBA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restart"/>
            <w:noWrap w:val="0"/>
            <w:vAlign w:val="center"/>
          </w:tcPr>
          <w:p w14:paraId="13706B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sz w:val="24"/>
                <w:szCs w:val="24"/>
                <w:shd w:val="clear" w:color="auto" w:fill="FFFFFF"/>
                <w:lang w:val="en-US" w:eastAsia="zh-CN"/>
              </w:rPr>
            </w:pPr>
            <w:r>
              <w:rPr>
                <w:rFonts w:hint="eastAsia" w:ascii="仿宋_GB2312" w:hAnsi="仿宋_GB2312" w:eastAsia="仿宋_GB2312" w:cs="仿宋_GB2312"/>
                <w:b/>
                <w:bCs/>
                <w:color w:val="000000"/>
                <w:sz w:val="24"/>
                <w:szCs w:val="24"/>
                <w:shd w:val="clear" w:color="auto" w:fill="FFFFFF"/>
                <w:lang w:val="en-US" w:eastAsia="zh-CN"/>
              </w:rPr>
              <w:t>开放交流与运行管理</w:t>
            </w:r>
          </w:p>
          <w:p w14:paraId="09F108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color w:val="000000"/>
                <w:sz w:val="24"/>
                <w:szCs w:val="24"/>
                <w:shd w:val="clear" w:color="auto" w:fill="FFFFFF"/>
                <w:lang w:val="en-US" w:eastAsia="zh-CN"/>
              </w:rPr>
              <w:t>（10分）</w:t>
            </w:r>
          </w:p>
        </w:tc>
        <w:tc>
          <w:tcPr>
            <w:tcW w:w="1337" w:type="dxa"/>
            <w:noWrap w:val="0"/>
            <w:vAlign w:val="center"/>
          </w:tcPr>
          <w:p w14:paraId="61EDD8F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sz w:val="24"/>
                <w:szCs w:val="24"/>
                <w:vertAlign w:val="baseline"/>
                <w:lang w:val="en" w:eastAsia="zh-CN"/>
              </w:rPr>
              <w:t>开放交流</w:t>
            </w:r>
          </w:p>
        </w:tc>
        <w:tc>
          <w:tcPr>
            <w:tcW w:w="5838" w:type="dxa"/>
            <w:noWrap w:val="0"/>
            <w:vAlign w:val="center"/>
          </w:tcPr>
          <w:p w14:paraId="3DE30C88">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牵头承办一场省级以上本领域学术会议</w:t>
            </w: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lang w:eastAsia="zh-CN"/>
              </w:rPr>
              <w:t>分、每参加一场学术会议并做报告1分</w:t>
            </w:r>
          </w:p>
        </w:tc>
        <w:tc>
          <w:tcPr>
            <w:tcW w:w="875" w:type="dxa"/>
            <w:vMerge w:val="restart"/>
            <w:noWrap w:val="0"/>
            <w:vAlign w:val="center"/>
          </w:tcPr>
          <w:p w14:paraId="58839E0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1CC16E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p w14:paraId="4FEAE9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837" w:type="dxa"/>
            <w:vMerge w:val="restart"/>
            <w:noWrap w:val="0"/>
            <w:vAlign w:val="center"/>
          </w:tcPr>
          <w:p w14:paraId="719619C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r>
      <w:tr w14:paraId="3A79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59E552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sz w:val="24"/>
                <w:szCs w:val="24"/>
                <w:shd w:val="clear" w:color="auto" w:fill="FFFFFF"/>
                <w:lang w:val="en-US" w:eastAsia="zh-CN"/>
              </w:rPr>
            </w:pPr>
          </w:p>
        </w:tc>
        <w:tc>
          <w:tcPr>
            <w:tcW w:w="1337" w:type="dxa"/>
            <w:noWrap w:val="0"/>
            <w:vAlign w:val="center"/>
          </w:tcPr>
          <w:p w14:paraId="11C52C9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sz w:val="24"/>
                <w:szCs w:val="24"/>
                <w:vertAlign w:val="baseline"/>
                <w:lang w:val="en" w:eastAsia="zh-CN"/>
              </w:rPr>
              <w:t>运行管理</w:t>
            </w:r>
          </w:p>
        </w:tc>
        <w:tc>
          <w:tcPr>
            <w:tcW w:w="5838" w:type="dxa"/>
            <w:noWrap w:val="0"/>
            <w:vAlign w:val="center"/>
          </w:tcPr>
          <w:p w14:paraId="61F61A15">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建立了较完善的管理办法和开放运行的规章制度，</w:t>
            </w:r>
            <w:r>
              <w:rPr>
                <w:rFonts w:hint="eastAsia" w:ascii="仿宋_GB2312" w:hAnsi="仿宋_GB2312" w:eastAsia="仿宋_GB2312" w:cs="仿宋_GB2312"/>
                <w:sz w:val="24"/>
                <w:szCs w:val="24"/>
                <w:vertAlign w:val="baseline"/>
                <w:lang w:val="en-US" w:eastAsia="zh-CN"/>
              </w:rPr>
              <w:t>得5分</w:t>
            </w:r>
          </w:p>
        </w:tc>
        <w:tc>
          <w:tcPr>
            <w:tcW w:w="875" w:type="dxa"/>
            <w:vMerge w:val="continue"/>
            <w:noWrap w:val="0"/>
            <w:vAlign w:val="center"/>
          </w:tcPr>
          <w:p w14:paraId="095A24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837" w:type="dxa"/>
            <w:vMerge w:val="continue"/>
            <w:noWrap w:val="0"/>
            <w:vAlign w:val="center"/>
          </w:tcPr>
          <w:p w14:paraId="57F71FC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r>
      <w:tr w14:paraId="0A04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restart"/>
            <w:noWrap w:val="0"/>
            <w:vAlign w:val="center"/>
          </w:tcPr>
          <w:p w14:paraId="2AF7E8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sz w:val="24"/>
                <w:szCs w:val="24"/>
                <w:shd w:val="clear" w:color="auto" w:fill="FFFFFF"/>
                <w:lang w:val="en-US" w:eastAsia="zh-CN"/>
              </w:rPr>
            </w:pPr>
            <w:r>
              <w:rPr>
                <w:rFonts w:hint="eastAsia" w:ascii="仿宋_GB2312" w:hAnsi="仿宋_GB2312" w:eastAsia="仿宋_GB2312" w:cs="仿宋_GB2312"/>
                <w:b/>
                <w:bCs/>
                <w:color w:val="000000"/>
                <w:sz w:val="24"/>
                <w:szCs w:val="24"/>
                <w:shd w:val="clear" w:color="auto" w:fill="FFFFFF"/>
                <w:lang w:val="en-US" w:eastAsia="zh-CN"/>
              </w:rPr>
              <w:t>加分项</w:t>
            </w:r>
          </w:p>
          <w:p w14:paraId="5FDD93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color w:val="000000"/>
                <w:sz w:val="24"/>
                <w:szCs w:val="24"/>
                <w:shd w:val="clear" w:color="auto" w:fill="FFFFFF"/>
                <w:lang w:val="en-US" w:eastAsia="zh-CN"/>
              </w:rPr>
              <w:t>（50分）</w:t>
            </w:r>
          </w:p>
        </w:tc>
        <w:tc>
          <w:tcPr>
            <w:tcW w:w="1337" w:type="dxa"/>
            <w:vMerge w:val="restart"/>
            <w:noWrap w:val="0"/>
            <w:vAlign w:val="center"/>
          </w:tcPr>
          <w:p w14:paraId="312BEFE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重大项目</w:t>
            </w:r>
          </w:p>
        </w:tc>
        <w:tc>
          <w:tcPr>
            <w:tcW w:w="5838" w:type="dxa"/>
            <w:noWrap w:val="0"/>
            <w:vAlign w:val="center"/>
          </w:tcPr>
          <w:p w14:paraId="486406E8">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牵头国家重点研发计划项目、国家重大专项项目、国家重大科研仪器研制项目、国家自然科学基金-重大项目、省级重大专项项目每项5分，参与单位按牵头的50%计分</w:t>
            </w:r>
          </w:p>
        </w:tc>
        <w:tc>
          <w:tcPr>
            <w:tcW w:w="875" w:type="dxa"/>
            <w:vMerge w:val="restart"/>
            <w:noWrap w:val="0"/>
            <w:vAlign w:val="center"/>
          </w:tcPr>
          <w:p w14:paraId="7AD14F2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190AF45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p w14:paraId="5292AF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p>
        </w:tc>
        <w:tc>
          <w:tcPr>
            <w:tcW w:w="837" w:type="dxa"/>
            <w:vMerge w:val="restart"/>
            <w:noWrap w:val="0"/>
            <w:vAlign w:val="center"/>
          </w:tcPr>
          <w:p w14:paraId="77AFF184">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r>
      <w:tr w14:paraId="58D1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2D41CB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1337" w:type="dxa"/>
            <w:vMerge w:val="continue"/>
            <w:noWrap w:val="0"/>
            <w:vAlign w:val="center"/>
          </w:tcPr>
          <w:p w14:paraId="34306AB3">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c>
          <w:tcPr>
            <w:tcW w:w="5838" w:type="dxa"/>
            <w:noWrap w:val="0"/>
            <w:vAlign w:val="center"/>
          </w:tcPr>
          <w:p w14:paraId="484F08C4">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牵头国家自然科学基金-重点项目每项3分，参与单位按牵头的50%计分</w:t>
            </w:r>
          </w:p>
        </w:tc>
        <w:tc>
          <w:tcPr>
            <w:tcW w:w="875" w:type="dxa"/>
            <w:vMerge w:val="continue"/>
            <w:noWrap w:val="0"/>
            <w:vAlign w:val="center"/>
          </w:tcPr>
          <w:p w14:paraId="16E4D2BA">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c>
          <w:tcPr>
            <w:tcW w:w="837" w:type="dxa"/>
            <w:vMerge w:val="continue"/>
            <w:noWrap w:val="0"/>
            <w:vAlign w:val="center"/>
          </w:tcPr>
          <w:p w14:paraId="39524AC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r>
      <w:tr w14:paraId="139B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573539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1337" w:type="dxa"/>
            <w:vMerge w:val="restart"/>
            <w:noWrap w:val="0"/>
            <w:vAlign w:val="center"/>
          </w:tcPr>
          <w:p w14:paraId="6BFBDA1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重大奖励</w:t>
            </w:r>
          </w:p>
        </w:tc>
        <w:tc>
          <w:tcPr>
            <w:tcW w:w="5838" w:type="dxa"/>
            <w:noWrap w:val="0"/>
            <w:vAlign w:val="center"/>
          </w:tcPr>
          <w:p w14:paraId="2250E68F">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国家最高科学技术奖、国际科学技术合作奖、国家科学技术一等奖（国家自然科学奖、国家技术发明奖、国家科学技术进步奖）第一完成单位或个人10分，其他完成单位或个人每项5分</w:t>
            </w:r>
          </w:p>
        </w:tc>
        <w:tc>
          <w:tcPr>
            <w:tcW w:w="875" w:type="dxa"/>
            <w:vMerge w:val="restart"/>
            <w:noWrap w:val="0"/>
            <w:vAlign w:val="center"/>
          </w:tcPr>
          <w:p w14:paraId="009421D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6D9FD55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15分</w:t>
            </w:r>
          </w:p>
          <w:p w14:paraId="42CC962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p>
        </w:tc>
        <w:tc>
          <w:tcPr>
            <w:tcW w:w="837" w:type="dxa"/>
            <w:vMerge w:val="restart"/>
            <w:noWrap w:val="0"/>
            <w:vAlign w:val="center"/>
          </w:tcPr>
          <w:p w14:paraId="2FCA2E5A">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r>
      <w:tr w14:paraId="190D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64C225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1337" w:type="dxa"/>
            <w:vMerge w:val="continue"/>
            <w:noWrap w:val="0"/>
            <w:vAlign w:val="center"/>
          </w:tcPr>
          <w:p w14:paraId="2C89DFC3">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c>
          <w:tcPr>
            <w:tcW w:w="5838" w:type="dxa"/>
            <w:noWrap w:val="0"/>
            <w:vAlign w:val="center"/>
          </w:tcPr>
          <w:p w14:paraId="647670E5">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国家科学技术奖二等奖（国家自然科学奖、国家技术发明奖、国家科学技术进步奖），第一完成单位或个人每项6分，其他完成单位或个人每项4分</w:t>
            </w:r>
          </w:p>
        </w:tc>
        <w:tc>
          <w:tcPr>
            <w:tcW w:w="875" w:type="dxa"/>
            <w:vMerge w:val="continue"/>
            <w:noWrap w:val="0"/>
            <w:vAlign w:val="center"/>
          </w:tcPr>
          <w:p w14:paraId="3EAE6312">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c>
          <w:tcPr>
            <w:tcW w:w="837" w:type="dxa"/>
            <w:vMerge w:val="continue"/>
            <w:noWrap w:val="0"/>
            <w:vAlign w:val="center"/>
          </w:tcPr>
          <w:p w14:paraId="07F932BA">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r>
      <w:tr w14:paraId="6A73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top"/>
          </w:tcPr>
          <w:p w14:paraId="2A0FFE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1337" w:type="dxa"/>
            <w:noWrap w:val="0"/>
            <w:vAlign w:val="center"/>
          </w:tcPr>
          <w:p w14:paraId="24A1C83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顶尖人才</w:t>
            </w:r>
          </w:p>
        </w:tc>
        <w:tc>
          <w:tcPr>
            <w:tcW w:w="5838" w:type="dxa"/>
            <w:noWrap w:val="0"/>
            <w:vAlign w:val="center"/>
          </w:tcPr>
          <w:p w14:paraId="71205936">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自主培养或引进院士、国家高层次人才特殊支持计划、国家海外高层次人才引进计划人才、长江学者、国家杰青、中国科学院百人、国家优青、青年拔尖、青年长江、海外优青，得15分</w:t>
            </w:r>
          </w:p>
        </w:tc>
        <w:tc>
          <w:tcPr>
            <w:tcW w:w="875" w:type="dxa"/>
            <w:noWrap w:val="0"/>
            <w:vAlign w:val="center"/>
          </w:tcPr>
          <w:p w14:paraId="04BBA4F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048F25A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15分</w:t>
            </w:r>
          </w:p>
        </w:tc>
        <w:tc>
          <w:tcPr>
            <w:tcW w:w="837" w:type="dxa"/>
            <w:noWrap w:val="0"/>
            <w:vAlign w:val="top"/>
          </w:tcPr>
          <w:p w14:paraId="04BA92F8">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r>
      <w:tr w14:paraId="5F88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top"/>
          </w:tcPr>
          <w:p w14:paraId="21CCFE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1337" w:type="dxa"/>
            <w:noWrap w:val="0"/>
            <w:vAlign w:val="center"/>
          </w:tcPr>
          <w:p w14:paraId="738A08A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创新创业</w:t>
            </w:r>
          </w:p>
        </w:tc>
        <w:tc>
          <w:tcPr>
            <w:tcW w:w="5838" w:type="dxa"/>
            <w:noWrap w:val="0"/>
            <w:vAlign w:val="center"/>
          </w:tcPr>
          <w:p w14:paraId="62CE54F7">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孵化了一批科技企业，每孵化1家创新创业企业得5分</w:t>
            </w:r>
          </w:p>
        </w:tc>
        <w:tc>
          <w:tcPr>
            <w:tcW w:w="875" w:type="dxa"/>
            <w:noWrap w:val="0"/>
            <w:vAlign w:val="center"/>
          </w:tcPr>
          <w:p w14:paraId="1045821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107E5BC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c>
          <w:tcPr>
            <w:tcW w:w="837" w:type="dxa"/>
            <w:noWrap w:val="0"/>
            <w:vAlign w:val="top"/>
          </w:tcPr>
          <w:p w14:paraId="7B30B30F">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r>
      <w:tr w14:paraId="14AE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238" w:type="dxa"/>
            <w:gridSpan w:val="4"/>
            <w:noWrap w:val="0"/>
            <w:vAlign w:val="center"/>
          </w:tcPr>
          <w:p w14:paraId="407D14C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黑体" w:hAnsi="黑体" w:eastAsia="黑体" w:cs="黑体"/>
                <w:sz w:val="24"/>
                <w:szCs w:val="24"/>
                <w:vertAlign w:val="baseline"/>
                <w:lang w:val="en-US" w:eastAsia="zh-CN"/>
              </w:rPr>
              <w:t>合计得分</w:t>
            </w:r>
          </w:p>
        </w:tc>
        <w:tc>
          <w:tcPr>
            <w:tcW w:w="837" w:type="dxa"/>
            <w:noWrap w:val="0"/>
            <w:vAlign w:val="top"/>
          </w:tcPr>
          <w:p w14:paraId="0AC2575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r>
    </w:tbl>
    <w:p w14:paraId="2D8CF0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87708"/>
    <w:rsid w:val="1E48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2025-04-15T08:02:00Z</dcterms:created>
  <dc:creator>羽-周</dc:creator>
  <cp:lastModifiedBy>羽-周</cp:lastModifiedBy>
  <dcterms:modified xsi:type="dcterms:W3CDTF">2025-04-15T08:02:31Z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BF32EAD475864B5BBC4A565CB9228A5A_11</vt:lpwstr>
  </property>
  <property fmtid="{D5CDD505-2E9C-101B-9397-08002B2CF9AE}" pid="4" name="KSOTemplateDocerSaveRecord">
    <vt:lpwstr>eyJoZGlkIjoiYzNmN2ZhZDg3OGUwYjFhZDkzYjI3MjhmNTU2NjdkZTciLCJ1c2VySWQiOiI3MTcwNzg1NjgifQ==</vt:lpwstr>
  </property>
</Properties>
</file>