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autoSpaceDE/>
        <w:autoSpaceDN/>
        <w:bidi w:val="0"/>
        <w:adjustRightInd/>
        <w:snapToGrid/>
        <w:spacing w:line="560" w:lineRule="exact"/>
        <w:jc w:val="center"/>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赣州市</w:t>
      </w:r>
      <w:r>
        <w:rPr>
          <w:rFonts w:hint="eastAsia" w:ascii="方正小标宋简体" w:hAnsi="方正小标宋简体" w:eastAsia="方正小标宋简体" w:cs="方正小标宋简体"/>
          <w:color w:val="000000"/>
          <w:sz w:val="44"/>
          <w:szCs w:val="44"/>
        </w:rPr>
        <w:t>城市公共汽电车突发事件应急预案</w:t>
      </w:r>
    </w:p>
    <w:p>
      <w:pPr>
        <w:keepNext w:val="0"/>
        <w:keepLines w:val="0"/>
        <w:pageBreakBefore w:val="0"/>
        <w:widowControl w:val="0"/>
        <w:kinsoku/>
        <w:wordWrap w:val="0"/>
        <w:overflowPunct/>
        <w:topLinePunct/>
        <w:autoSpaceDE/>
        <w:autoSpaceDN/>
        <w:bidi w:val="0"/>
        <w:adjustRightInd/>
        <w:snapToGrid/>
        <w:spacing w:line="560" w:lineRule="exact"/>
        <w:ind w:firstLine="562" w:firstLineChars="200"/>
        <w:rPr>
          <w:rFonts w:hint="eastAsia" w:ascii="宋体" w:hAnsi="宋体" w:eastAsia="宋体" w:cs="宋体"/>
          <w:b/>
          <w:bCs/>
          <w:color w:val="000000"/>
          <w:sz w:val="28"/>
          <w:szCs w:val="28"/>
          <w:lang w:eastAsia="zh-CN"/>
        </w:rPr>
      </w:pP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目</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lang w:eastAsia="zh-CN"/>
        </w:rPr>
        <w:t>录</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1.总则</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1.1</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编制目的</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1.2</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编制依据</w:t>
      </w:r>
    </w:p>
    <w:p>
      <w:pPr>
        <w:keepNext w:val="0"/>
        <w:keepLines w:val="0"/>
        <w:pageBreakBefore w:val="0"/>
        <w:widowControl w:val="0"/>
        <w:kinsoku/>
        <w:wordWrap w:val="0"/>
        <w:overflowPunct/>
        <w:topLinePunct/>
        <w:autoSpaceDE/>
        <w:autoSpaceDN/>
        <w:bidi w:val="0"/>
        <w:adjustRightInd/>
        <w:snapToGrid/>
        <w:spacing w:line="560" w:lineRule="exact"/>
        <w:ind w:firstLine="627" w:firstLineChars="196"/>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1.3</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事件分级</w:t>
      </w:r>
    </w:p>
    <w:p>
      <w:pPr>
        <w:keepNext w:val="0"/>
        <w:keepLines w:val="0"/>
        <w:pageBreakBefore w:val="0"/>
        <w:widowControl w:val="0"/>
        <w:kinsoku/>
        <w:wordWrap w:val="0"/>
        <w:overflowPunct/>
        <w:topLinePunct/>
        <w:autoSpaceDE/>
        <w:autoSpaceDN/>
        <w:bidi w:val="0"/>
        <w:adjustRightInd/>
        <w:snapToGrid/>
        <w:spacing w:line="560" w:lineRule="exact"/>
        <w:ind w:firstLine="627" w:firstLineChars="196"/>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1.4</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适用范围</w:t>
      </w:r>
    </w:p>
    <w:p>
      <w:pPr>
        <w:keepNext w:val="0"/>
        <w:keepLines w:val="0"/>
        <w:pageBreakBefore w:val="0"/>
        <w:widowControl w:val="0"/>
        <w:kinsoku/>
        <w:wordWrap w:val="0"/>
        <w:overflowPunct/>
        <w:topLinePunct/>
        <w:autoSpaceDE/>
        <w:autoSpaceDN/>
        <w:bidi w:val="0"/>
        <w:adjustRightInd/>
        <w:snapToGrid/>
        <w:spacing w:line="560" w:lineRule="exact"/>
        <w:ind w:firstLine="627" w:firstLineChars="196"/>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1.5</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工作原则</w:t>
      </w:r>
    </w:p>
    <w:p>
      <w:pPr>
        <w:keepNext w:val="0"/>
        <w:keepLines w:val="0"/>
        <w:pageBreakBefore w:val="0"/>
        <w:widowControl w:val="0"/>
        <w:kinsoku/>
        <w:wordWrap w:val="0"/>
        <w:overflowPunct/>
        <w:topLinePunct/>
        <w:autoSpaceDE/>
        <w:autoSpaceDN/>
        <w:bidi w:val="0"/>
        <w:adjustRightInd/>
        <w:snapToGrid/>
        <w:spacing w:line="560" w:lineRule="exact"/>
        <w:ind w:firstLine="627" w:firstLineChars="196"/>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1.6</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预案体系</w:t>
      </w:r>
    </w:p>
    <w:p>
      <w:pPr>
        <w:keepNext w:val="0"/>
        <w:keepLines w:val="0"/>
        <w:pageBreakBefore w:val="0"/>
        <w:widowControl w:val="0"/>
        <w:kinsoku/>
        <w:wordWrap w:val="0"/>
        <w:overflowPunct/>
        <w:topLinePunct/>
        <w:autoSpaceDE/>
        <w:autoSpaceDN/>
        <w:bidi w:val="0"/>
        <w:adjustRightInd/>
        <w:snapToGrid/>
        <w:spacing w:line="560" w:lineRule="exact"/>
        <w:ind w:firstLine="627" w:firstLineChars="196"/>
        <w:textAlignment w:val="baseline"/>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sz w:val="32"/>
          <w:szCs w:val="32"/>
        </w:rPr>
        <w:t>2.组织体系</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2.1</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lang w:eastAsia="zh-CN"/>
        </w:rPr>
        <w:t>市</w:t>
      </w:r>
      <w:r>
        <w:rPr>
          <w:rFonts w:hint="eastAsia" w:ascii="仿宋_GB2312" w:hAnsi="仿宋_GB2312" w:eastAsia="仿宋_GB2312" w:cs="仿宋_GB2312"/>
          <w:b w:val="0"/>
          <w:bCs w:val="0"/>
          <w:color w:val="000000"/>
          <w:sz w:val="32"/>
          <w:szCs w:val="32"/>
        </w:rPr>
        <w:t>级应急组织机构</w:t>
      </w:r>
      <w:bookmarkStart w:id="27" w:name="_GoBack"/>
      <w:bookmarkEnd w:id="27"/>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2.2</w:t>
      </w:r>
      <w:r>
        <w:rPr>
          <w:rFonts w:hint="eastAsia" w:ascii="仿宋_GB2312" w:hAnsi="仿宋_GB2312" w:eastAsia="仿宋_GB2312" w:cs="仿宋_GB2312"/>
          <w:b w:val="0"/>
          <w:bCs w:val="0"/>
          <w:color w:val="000000"/>
          <w:sz w:val="32"/>
          <w:szCs w:val="32"/>
          <w:lang w:val="en-US" w:eastAsia="zh-CN"/>
        </w:rPr>
        <w:t xml:space="preserve"> 县级</w:t>
      </w:r>
      <w:r>
        <w:rPr>
          <w:rFonts w:hint="eastAsia" w:ascii="仿宋_GB2312" w:hAnsi="仿宋_GB2312" w:eastAsia="仿宋_GB2312" w:cs="仿宋_GB2312"/>
          <w:b w:val="0"/>
          <w:bCs w:val="0"/>
          <w:color w:val="000000"/>
          <w:sz w:val="32"/>
          <w:szCs w:val="32"/>
        </w:rPr>
        <w:t>应急组织机构</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2.3</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运营企业</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3.预防与预警</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3.1</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预警管理</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3.2</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预警信息</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4.应急响应</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4.1</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信息报告与处理</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4.2</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分级响应</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4.3</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响应程序</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4.4</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响应措施</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4.5</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响应终止</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4.6</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后期处置</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5.应急保障</w:t>
      </w:r>
    </w:p>
    <w:p>
      <w:pPr>
        <w:keepNext w:val="0"/>
        <w:keepLines w:val="0"/>
        <w:pageBreakBefore w:val="0"/>
        <w:kinsoku/>
        <w:wordWrap w:val="0"/>
        <w:overflowPunct/>
        <w:topLinePunct/>
        <w:autoSpaceDE/>
        <w:autoSpaceDN/>
        <w:bidi w:val="0"/>
        <w:snapToGrid/>
        <w:spacing w:line="56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5.1</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队伍保障</w:t>
      </w:r>
    </w:p>
    <w:p>
      <w:pPr>
        <w:keepNext w:val="0"/>
        <w:keepLines w:val="0"/>
        <w:pageBreakBefore w:val="0"/>
        <w:kinsoku/>
        <w:wordWrap w:val="0"/>
        <w:overflowPunct/>
        <w:topLinePunct/>
        <w:autoSpaceDE/>
        <w:autoSpaceDN/>
        <w:bidi w:val="0"/>
        <w:snapToGrid/>
        <w:spacing w:line="56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5.2</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通信保障</w:t>
      </w:r>
    </w:p>
    <w:p>
      <w:pPr>
        <w:keepNext w:val="0"/>
        <w:keepLines w:val="0"/>
        <w:pageBreakBefore w:val="0"/>
        <w:kinsoku/>
        <w:wordWrap w:val="0"/>
        <w:overflowPunct/>
        <w:topLinePunct/>
        <w:autoSpaceDE/>
        <w:autoSpaceDN/>
        <w:bidi w:val="0"/>
        <w:snapToGrid/>
        <w:spacing w:line="56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5.3</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物资保障</w:t>
      </w:r>
    </w:p>
    <w:p>
      <w:pPr>
        <w:keepNext w:val="0"/>
        <w:keepLines w:val="0"/>
        <w:pageBreakBefore w:val="0"/>
        <w:kinsoku/>
        <w:wordWrap w:val="0"/>
        <w:overflowPunct/>
        <w:topLinePunct/>
        <w:autoSpaceDE/>
        <w:autoSpaceDN/>
        <w:bidi w:val="0"/>
        <w:snapToGrid/>
        <w:spacing w:line="56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5.4</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资金保障</w:t>
      </w:r>
    </w:p>
    <w:p>
      <w:pPr>
        <w:keepNext w:val="0"/>
        <w:keepLines w:val="0"/>
        <w:pageBreakBefore w:val="0"/>
        <w:kinsoku/>
        <w:wordWrap w:val="0"/>
        <w:overflowPunct/>
        <w:topLinePunct/>
        <w:autoSpaceDE/>
        <w:autoSpaceDN/>
        <w:bidi w:val="0"/>
        <w:snapToGrid/>
        <w:spacing w:line="56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5.5</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医疗保障</w:t>
      </w:r>
    </w:p>
    <w:p>
      <w:pPr>
        <w:keepNext w:val="0"/>
        <w:keepLines w:val="0"/>
        <w:pageBreakBefore w:val="0"/>
        <w:kinsoku/>
        <w:wordWrap w:val="0"/>
        <w:overflowPunct/>
        <w:topLinePunct/>
        <w:autoSpaceDE/>
        <w:autoSpaceDN/>
        <w:bidi w:val="0"/>
        <w:snapToGrid/>
        <w:spacing w:line="56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5.6</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应急演练</w:t>
      </w:r>
    </w:p>
    <w:p>
      <w:pPr>
        <w:keepNext w:val="0"/>
        <w:keepLines w:val="0"/>
        <w:pageBreakBefore w:val="0"/>
        <w:kinsoku/>
        <w:wordWrap w:val="0"/>
        <w:overflowPunct/>
        <w:topLinePunct/>
        <w:autoSpaceDE/>
        <w:autoSpaceDN/>
        <w:bidi w:val="0"/>
        <w:snapToGrid/>
        <w:spacing w:line="56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5.7</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应急培训</w:t>
      </w:r>
    </w:p>
    <w:p>
      <w:pPr>
        <w:keepNext w:val="0"/>
        <w:keepLines w:val="0"/>
        <w:pageBreakBefore w:val="0"/>
        <w:kinsoku/>
        <w:wordWrap w:val="0"/>
        <w:overflowPunct/>
        <w:topLinePunct/>
        <w:autoSpaceDE/>
        <w:autoSpaceDN/>
        <w:bidi w:val="0"/>
        <w:snapToGrid/>
        <w:spacing w:line="560" w:lineRule="exact"/>
        <w:ind w:firstLine="640" w:firstLineChars="200"/>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6.附则</w:t>
      </w:r>
    </w:p>
    <w:p>
      <w:pPr>
        <w:keepNext w:val="0"/>
        <w:keepLines w:val="0"/>
        <w:pageBreakBefore w:val="0"/>
        <w:kinsoku/>
        <w:wordWrap w:val="0"/>
        <w:overflowPunct/>
        <w:topLinePunct/>
        <w:autoSpaceDE/>
        <w:autoSpaceDN/>
        <w:bidi w:val="0"/>
        <w:snapToGrid/>
        <w:spacing w:line="56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6.1</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预案管理与更新</w:t>
      </w:r>
    </w:p>
    <w:p>
      <w:pPr>
        <w:keepNext w:val="0"/>
        <w:keepLines w:val="0"/>
        <w:pageBreakBefore w:val="0"/>
        <w:kinsoku/>
        <w:wordWrap w:val="0"/>
        <w:overflowPunct/>
        <w:topLinePunct/>
        <w:autoSpaceDE/>
        <w:autoSpaceDN/>
        <w:bidi w:val="0"/>
        <w:snapToGrid/>
        <w:spacing w:line="56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6.2</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县级预案制定</w:t>
      </w:r>
    </w:p>
    <w:p>
      <w:pPr>
        <w:keepNext w:val="0"/>
        <w:keepLines w:val="0"/>
        <w:pageBreakBefore w:val="0"/>
        <w:kinsoku/>
        <w:wordWrap w:val="0"/>
        <w:overflowPunct/>
        <w:topLinePunct/>
        <w:autoSpaceDE/>
        <w:autoSpaceDN/>
        <w:bidi w:val="0"/>
        <w:snapToGrid/>
        <w:spacing w:line="56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6.3</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预案制定与解释</w:t>
      </w:r>
    </w:p>
    <w:p>
      <w:pPr>
        <w:keepNext w:val="0"/>
        <w:keepLines w:val="0"/>
        <w:pageBreakBefore w:val="0"/>
        <w:kinsoku/>
        <w:wordWrap w:val="0"/>
        <w:overflowPunct/>
        <w:topLinePunct/>
        <w:autoSpaceDE/>
        <w:autoSpaceDN/>
        <w:bidi w:val="0"/>
        <w:snapToGrid/>
        <w:spacing w:line="56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6.4</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预案实施时间</w:t>
      </w:r>
    </w:p>
    <w:p>
      <w:pPr>
        <w:keepNext w:val="0"/>
        <w:keepLines w:val="0"/>
        <w:pageBreakBefore w:val="0"/>
        <w:kinsoku/>
        <w:wordWrap w:val="0"/>
        <w:overflowPunct/>
        <w:topLinePunct/>
        <w:autoSpaceDE/>
        <w:autoSpaceDN/>
        <w:bidi w:val="0"/>
        <w:snapToGrid/>
        <w:spacing w:line="560" w:lineRule="exact"/>
        <w:rPr>
          <w:rFonts w:hint="eastAsia" w:ascii="仿宋_GB2312" w:hAnsi="仿宋_GB2312" w:eastAsia="仿宋_GB2312" w:cs="仿宋_GB2312"/>
          <w:b/>
          <w:color w:val="000000"/>
          <w:sz w:val="32"/>
          <w:szCs w:val="32"/>
        </w:rPr>
      </w:pPr>
    </w:p>
    <w:p>
      <w:pPr>
        <w:keepNext w:val="0"/>
        <w:keepLines w:val="0"/>
        <w:pageBreakBefore w:val="0"/>
        <w:kinsoku/>
        <w:wordWrap w:val="0"/>
        <w:overflowPunct/>
        <w:topLinePunct/>
        <w:autoSpaceDE/>
        <w:autoSpaceDN/>
        <w:bidi w:val="0"/>
        <w:snapToGrid/>
        <w:spacing w:line="560" w:lineRule="exact"/>
        <w:rPr>
          <w:rFonts w:hint="eastAsia" w:ascii="仿宋_GB2312" w:hAnsi="仿宋_GB2312" w:eastAsia="仿宋_GB2312" w:cs="仿宋_GB2312"/>
          <w:b/>
          <w:color w:val="000000"/>
          <w:sz w:val="32"/>
          <w:szCs w:val="32"/>
        </w:rPr>
      </w:pPr>
    </w:p>
    <w:p>
      <w:pPr>
        <w:keepNext w:val="0"/>
        <w:keepLines w:val="0"/>
        <w:pageBreakBefore w:val="0"/>
        <w:kinsoku/>
        <w:wordWrap w:val="0"/>
        <w:overflowPunct/>
        <w:topLinePunct/>
        <w:autoSpaceDE/>
        <w:autoSpaceDN/>
        <w:bidi w:val="0"/>
        <w:snapToGrid/>
        <w:spacing w:line="560" w:lineRule="exact"/>
        <w:rPr>
          <w:rFonts w:hint="eastAsia" w:ascii="仿宋_GB2312" w:hAnsi="仿宋_GB2312" w:eastAsia="仿宋_GB2312" w:cs="仿宋_GB2312"/>
          <w:b/>
          <w:color w:val="000000"/>
          <w:sz w:val="32"/>
          <w:szCs w:val="32"/>
        </w:rPr>
      </w:pPr>
    </w:p>
    <w:p>
      <w:pPr>
        <w:keepNext w:val="0"/>
        <w:keepLines w:val="0"/>
        <w:pageBreakBefore w:val="0"/>
        <w:kinsoku/>
        <w:wordWrap w:val="0"/>
        <w:overflowPunct/>
        <w:topLinePunct/>
        <w:autoSpaceDE/>
        <w:autoSpaceDN/>
        <w:bidi w:val="0"/>
        <w:snapToGrid/>
        <w:spacing w:line="560" w:lineRule="exact"/>
        <w:rPr>
          <w:rFonts w:hint="eastAsia" w:ascii="仿宋_GB2312" w:hAnsi="仿宋_GB2312" w:eastAsia="仿宋_GB2312" w:cs="仿宋_GB2312"/>
          <w:b/>
          <w:color w:val="000000"/>
          <w:sz w:val="32"/>
          <w:szCs w:val="32"/>
        </w:rPr>
      </w:pPr>
    </w:p>
    <w:p>
      <w:pPr>
        <w:keepNext w:val="0"/>
        <w:keepLines w:val="0"/>
        <w:pageBreakBefore w:val="0"/>
        <w:kinsoku/>
        <w:wordWrap w:val="0"/>
        <w:overflowPunct/>
        <w:topLinePunct/>
        <w:autoSpaceDE/>
        <w:autoSpaceDN/>
        <w:bidi w:val="0"/>
        <w:snapToGrid/>
        <w:spacing w:line="560" w:lineRule="exact"/>
        <w:rPr>
          <w:rFonts w:hint="eastAsia" w:ascii="仿宋_GB2312" w:hAnsi="仿宋_GB2312" w:eastAsia="仿宋_GB2312" w:cs="仿宋_GB2312"/>
          <w:b/>
          <w:color w:val="000000"/>
          <w:sz w:val="32"/>
          <w:szCs w:val="32"/>
        </w:rPr>
      </w:pPr>
    </w:p>
    <w:p>
      <w:pPr>
        <w:keepNext w:val="0"/>
        <w:keepLines w:val="0"/>
        <w:pageBreakBefore w:val="0"/>
        <w:kinsoku/>
        <w:wordWrap w:val="0"/>
        <w:overflowPunct/>
        <w:topLinePunct/>
        <w:autoSpaceDE/>
        <w:autoSpaceDN/>
        <w:bidi w:val="0"/>
        <w:snapToGrid/>
        <w:spacing w:line="560" w:lineRule="exact"/>
        <w:rPr>
          <w:rFonts w:hint="eastAsia" w:ascii="仿宋_GB2312" w:hAnsi="仿宋_GB2312" w:eastAsia="仿宋_GB2312" w:cs="仿宋_GB2312"/>
          <w:b/>
          <w:color w:val="000000"/>
          <w:sz w:val="32"/>
          <w:szCs w:val="32"/>
        </w:rPr>
      </w:pPr>
    </w:p>
    <w:p>
      <w:pPr>
        <w:keepNext w:val="0"/>
        <w:keepLines w:val="0"/>
        <w:pageBreakBefore w:val="0"/>
        <w:kinsoku/>
        <w:wordWrap w:val="0"/>
        <w:overflowPunct/>
        <w:topLinePunct/>
        <w:autoSpaceDE/>
        <w:autoSpaceDN/>
        <w:bidi w:val="0"/>
        <w:snapToGrid/>
        <w:spacing w:line="560" w:lineRule="exact"/>
        <w:rPr>
          <w:rFonts w:hint="eastAsia" w:ascii="仿宋_GB2312" w:hAnsi="仿宋_GB2312" w:eastAsia="仿宋_GB2312" w:cs="仿宋_GB2312"/>
          <w:b/>
          <w:color w:val="000000"/>
          <w:sz w:val="32"/>
          <w:szCs w:val="32"/>
        </w:rPr>
      </w:pPr>
    </w:p>
    <w:p>
      <w:pPr>
        <w:pStyle w:val="2"/>
        <w:rPr>
          <w:rFonts w:hint="eastAsia" w:ascii="仿宋_GB2312" w:hAnsi="仿宋_GB2312" w:eastAsia="仿宋_GB2312" w:cs="仿宋_GB2312"/>
          <w:b/>
          <w:color w:val="000000"/>
          <w:sz w:val="32"/>
          <w:szCs w:val="32"/>
        </w:rPr>
      </w:pPr>
    </w:p>
    <w:p>
      <w:pPr>
        <w:rPr>
          <w:rFonts w:hint="eastAsia" w:ascii="仿宋_GB2312" w:hAnsi="仿宋_GB2312" w:eastAsia="仿宋_GB2312" w:cs="仿宋_GB2312"/>
          <w:b/>
          <w:color w:val="000000"/>
          <w:sz w:val="32"/>
          <w:szCs w:val="32"/>
        </w:rPr>
      </w:pPr>
    </w:p>
    <w:p>
      <w:pPr>
        <w:pStyle w:val="2"/>
        <w:rPr>
          <w:rFonts w:hint="eastAsia" w:ascii="仿宋_GB2312" w:hAnsi="仿宋_GB2312" w:eastAsia="仿宋_GB2312" w:cs="仿宋_GB2312"/>
          <w:b/>
          <w:color w:val="000000"/>
          <w:sz w:val="32"/>
          <w:szCs w:val="32"/>
        </w:rPr>
      </w:pPr>
    </w:p>
    <w:p>
      <w:pPr>
        <w:rPr>
          <w:rFonts w:hint="eastAsia"/>
        </w:rPr>
      </w:pP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黑体" w:hAnsi="黑体" w:eastAsia="黑体" w:cs="黑体"/>
          <w:bCs/>
          <w:color w:val="000000"/>
          <w:sz w:val="32"/>
          <w:szCs w:val="32"/>
        </w:rPr>
      </w:pPr>
      <w:r>
        <w:rPr>
          <w:rFonts w:hint="eastAsia" w:ascii="黑体" w:hAnsi="黑体" w:eastAsia="黑体" w:cs="黑体"/>
          <w:bCs/>
          <w:color w:val="000000"/>
          <w:sz w:val="32"/>
          <w:szCs w:val="32"/>
        </w:rPr>
        <w:t>1.总则</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楷体_GB2312" w:hAnsi="楷体_GB2312" w:eastAsia="楷体_GB2312" w:cs="楷体_GB2312"/>
          <w:color w:val="000000"/>
          <w:sz w:val="32"/>
          <w:szCs w:val="32"/>
        </w:rPr>
      </w:pPr>
      <w:r>
        <w:rPr>
          <w:rFonts w:hint="eastAsia" w:ascii="楷体_GB2312" w:hAnsi="楷体_GB2312" w:eastAsia="楷体_GB2312" w:cs="楷体_GB2312"/>
          <w:bCs/>
          <w:color w:val="000000"/>
          <w:sz w:val="32"/>
          <w:szCs w:val="32"/>
        </w:rPr>
        <w:t>1.1 编制目的</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为规范和加强全</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城市公共汽电车突发事件的应急管理工作，指导、协调全省各地建立和完善应急预案体系，有效预防和应对城市公共汽电车突发事件，最大限度地减少可能造成的影响和损失，保护人民生命财产安全，保障城市公共交通正常运行，制定本预案。</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1.2 编制依据</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依据《中华人民共和国突发事件应对法》《</w:t>
      </w:r>
      <w:bookmarkStart w:id="0" w:name="OLE_LINK62"/>
      <w:bookmarkStart w:id="1" w:name="OLE_LINK63"/>
      <w:r>
        <w:rPr>
          <w:rFonts w:hint="eastAsia" w:ascii="仿宋_GB2312" w:hAnsi="仿宋_GB2312" w:eastAsia="仿宋_GB2312" w:cs="仿宋_GB2312"/>
          <w:color w:val="000000"/>
          <w:sz w:val="32"/>
          <w:szCs w:val="32"/>
        </w:rPr>
        <w:t>中华人民共和国反恐怖主义法</w:t>
      </w:r>
      <w:bookmarkEnd w:id="0"/>
      <w:bookmarkEnd w:id="1"/>
      <w:r>
        <w:rPr>
          <w:rFonts w:hint="eastAsia" w:ascii="仿宋_GB2312" w:hAnsi="仿宋_GB2312" w:eastAsia="仿宋_GB2312" w:cs="仿宋_GB2312"/>
          <w:color w:val="000000"/>
          <w:sz w:val="32"/>
          <w:szCs w:val="32"/>
        </w:rPr>
        <w:t>》《国家突发公共事件总体应急预案》《突发事件应急预案管理办法》《交通运输突发事件应急管理规定》《交通运输部突发事件应急工作暂行规范》《交通运输部城市公共汽电车突发事件应急预案》《江西省突发事件应急预案管理办法》《城市公共汽电车突发事件应急预案编制规范》（JT/T1018-2016）等相关规定，制定本预案。</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1.3 事件分级</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预案所称城市公共汽电车突发事件，是指由于城市公共汽电车运营事故、城市公交场站内或公共汽电车车辆上遭受恐怖袭击或极端暴力袭击等原因引发，造成或者可能造成人员伤亡、大量人员需要疏散和严重社会危害的紧急事件。</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城市公共汽电车突发事件按照性质类型、严重程度、可控性和影响范围等因素，分为四级；Ⅰ级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特别重大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，Ⅱ级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重大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，Ⅲ级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较大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和Ⅳ级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一般</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p>
    <w:p>
      <w:pPr>
        <w:keepNext w:val="0"/>
        <w:keepLines w:val="0"/>
        <w:pageBreakBefore w:val="0"/>
        <w:kinsoku/>
        <w:wordWrap w:val="0"/>
        <w:overflowPunct/>
        <w:topLinePunct/>
        <w:autoSpaceDE/>
        <w:autoSpaceDN/>
        <w:bidi w:val="0"/>
        <w:snapToGrid/>
        <w:spacing w:line="560" w:lineRule="exact"/>
        <w:ind w:firstLine="643" w:firstLineChars="200"/>
        <w:jc w:val="both"/>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1.3.1 Ⅰ级城市公共汽电车突发事件</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有下列情形之一的，为Ⅰ级城市公共汽电车突发事件：</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（1）城市公交场站内或公共汽电车车辆上发生严重危及人员生命安全的运营事故，或遭受恐怖袭击或极端暴力袭击，造成或可能造成30人（含30人）以上死亡或失踪，或危及30人（含30人）以上生命安全的；</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（2）其他可能造成特别重大损失的城市公共汽电车突发事件。</w:t>
      </w:r>
    </w:p>
    <w:p>
      <w:pPr>
        <w:keepNext w:val="0"/>
        <w:keepLines w:val="0"/>
        <w:pageBreakBefore w:val="0"/>
        <w:kinsoku/>
        <w:wordWrap w:val="0"/>
        <w:overflowPunct/>
        <w:topLinePunct/>
        <w:autoSpaceDE/>
        <w:autoSpaceDN/>
        <w:bidi w:val="0"/>
        <w:snapToGrid/>
        <w:spacing w:line="560" w:lineRule="exact"/>
        <w:ind w:firstLine="643" w:firstLineChars="200"/>
        <w:jc w:val="both"/>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1.3.2 Ⅱ级城市公共汽电车突发事件</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有下列情形之一的，为</w:t>
      </w:r>
      <w:bookmarkStart w:id="2" w:name="OLE_LINK30"/>
      <w:bookmarkStart w:id="3" w:name="OLE_LINK28"/>
      <w:bookmarkStart w:id="4" w:name="OLE_LINK29"/>
      <w:r>
        <w:rPr>
          <w:rFonts w:hint="eastAsia" w:ascii="仿宋_GB2312" w:hAnsi="仿宋_GB2312" w:eastAsia="仿宋_GB2312" w:cs="仿宋_GB2312"/>
          <w:color w:val="000000"/>
          <w:sz w:val="32"/>
          <w:szCs w:val="32"/>
        </w:rPr>
        <w:t>Ⅱ级城市公共汽电车突发事件</w:t>
      </w:r>
      <w:bookmarkEnd w:id="2"/>
      <w:bookmarkEnd w:id="3"/>
      <w:bookmarkEnd w:id="4"/>
      <w:r>
        <w:rPr>
          <w:rFonts w:hint="eastAsia" w:ascii="仿宋_GB2312" w:hAnsi="仿宋_GB2312" w:eastAsia="仿宋_GB2312" w:cs="仿宋_GB2312"/>
          <w:color w:val="000000"/>
          <w:sz w:val="32"/>
          <w:szCs w:val="32"/>
          <w:lang w:eastAsia="zh-CN"/>
        </w:rPr>
        <w:t>：</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1）城市公交场站内或公共汽电车车辆上发生严重危及人员生命安全的运营事故，或遭受恐怖袭击或极端暴力袭击，造成或可能造成10人（含10人）以上、30人以下死亡或失踪的，或危及10人（含10人）以上、30人以下生命安全的；</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（2）造成或可能造成</w:t>
      </w:r>
      <w:r>
        <w:rPr>
          <w:rFonts w:hint="eastAsia" w:ascii="仿宋_GB2312" w:hAnsi="仿宋_GB2312" w:eastAsia="仿宋_GB2312" w:cs="仿宋_GB2312"/>
          <w:color w:val="000000"/>
          <w:sz w:val="32"/>
          <w:szCs w:val="32"/>
          <w:lang w:eastAsia="zh-CN"/>
        </w:rPr>
        <w:t>市级或县级</w:t>
      </w:r>
      <w:r>
        <w:rPr>
          <w:rFonts w:hint="eastAsia" w:ascii="仿宋_GB2312" w:hAnsi="仿宋_GB2312" w:eastAsia="仿宋_GB2312" w:cs="仿宋_GB2312"/>
          <w:color w:val="000000"/>
          <w:sz w:val="32"/>
          <w:szCs w:val="32"/>
        </w:rPr>
        <w:t>三分之一以上公交车辆或公交线路连续停运24小时以上的；</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（3）其他可能造成重大损失的城市公共汽电车突发事件。</w:t>
      </w:r>
    </w:p>
    <w:p>
      <w:pPr>
        <w:keepNext w:val="0"/>
        <w:keepLines w:val="0"/>
        <w:pageBreakBefore w:val="0"/>
        <w:kinsoku/>
        <w:wordWrap w:val="0"/>
        <w:overflowPunct/>
        <w:topLinePunct/>
        <w:autoSpaceDE/>
        <w:autoSpaceDN/>
        <w:bidi w:val="0"/>
        <w:snapToGrid/>
        <w:spacing w:line="560" w:lineRule="exact"/>
        <w:ind w:firstLine="643" w:firstLineChars="200"/>
        <w:jc w:val="both"/>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1.3.3 Ⅲ级城市公共汽电车突发事件</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有下列情形之一的，为Ⅲ级城市公共汽电车突发事件</w:t>
      </w:r>
      <w:r>
        <w:rPr>
          <w:rFonts w:hint="eastAsia" w:ascii="仿宋_GB2312" w:hAnsi="仿宋_GB2312" w:eastAsia="仿宋_GB2312" w:cs="仿宋_GB2312"/>
          <w:color w:val="000000"/>
          <w:sz w:val="32"/>
          <w:szCs w:val="32"/>
          <w:lang w:eastAsia="zh-CN"/>
        </w:rPr>
        <w:t>：</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1）城市公交场站内或公共汽电车车辆上发生严重危及人员生命安全的运营事故，或遭受恐怖袭击或极端暴力袭击，造成或可能造成3人（含3人）以上、10人以下死亡或失踪的，或危及3人（含3人）以上、10人以下生命安全的；</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（2）造成或可能造成事发地部分公共交通线路停运24小时以上的；</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（3）其他可能造成较大损失的城市公共汽电车突发事件。</w:t>
      </w:r>
    </w:p>
    <w:p>
      <w:pPr>
        <w:keepNext w:val="0"/>
        <w:keepLines w:val="0"/>
        <w:pageBreakBefore w:val="0"/>
        <w:kinsoku/>
        <w:wordWrap w:val="0"/>
        <w:overflowPunct/>
        <w:topLinePunct/>
        <w:autoSpaceDE/>
        <w:autoSpaceDN/>
        <w:bidi w:val="0"/>
        <w:snapToGrid/>
        <w:spacing w:line="560" w:lineRule="exact"/>
        <w:ind w:firstLine="643" w:firstLineChars="200"/>
        <w:jc w:val="both"/>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1.3.4 Ⅳ级城市公共汽电车突发事件</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有下列情形之一的，为Ⅳ级城市公共汽电车突发事件</w:t>
      </w:r>
      <w:r>
        <w:rPr>
          <w:rFonts w:hint="eastAsia" w:ascii="仿宋_GB2312" w:hAnsi="仿宋_GB2312" w:eastAsia="仿宋_GB2312" w:cs="仿宋_GB2312"/>
          <w:color w:val="000000"/>
          <w:sz w:val="32"/>
          <w:szCs w:val="32"/>
          <w:lang w:eastAsia="zh-CN"/>
        </w:rPr>
        <w:t>：</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（1）城市公交场站内或公共汽电车车辆上发生严重危及人员生命安全的运营事故，或遭受恐怖袭击或极端暴力袭击，造成或可能造成3人以下死亡或失踪的，或危及3人以下生命安全的；</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（2）造成或可能造成事发地部分公共交通线路停运24小时以内的；</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（3）其他可能造成一般损失的城市公共汽电车突发事件。</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1.4</w:t>
      </w:r>
      <w:r>
        <w:rPr>
          <w:rFonts w:hint="eastAsia" w:ascii="楷体_GB2312" w:hAnsi="楷体_GB2312" w:eastAsia="楷体_GB2312" w:cs="楷体_GB2312"/>
          <w:bCs/>
          <w:color w:val="000000"/>
          <w:sz w:val="32"/>
          <w:szCs w:val="32"/>
          <w:lang w:val="en-US" w:eastAsia="zh-CN"/>
        </w:rPr>
        <w:t xml:space="preserve"> </w:t>
      </w:r>
      <w:r>
        <w:rPr>
          <w:rFonts w:hint="eastAsia" w:ascii="楷体_GB2312" w:hAnsi="楷体_GB2312" w:eastAsia="楷体_GB2312" w:cs="楷体_GB2312"/>
          <w:bCs/>
          <w:color w:val="000000"/>
          <w:sz w:val="32"/>
          <w:szCs w:val="32"/>
        </w:rPr>
        <w:t>适用范围</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本预案适用于我</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城市公共汽电车Ⅰ级，Ⅱ级突发事件的应急处置。本预案指导地方城市公共汽电车突发事件应急预案的编制和地方交通运输主管部门对城市公共汽电车突发事件的应对工作。</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属恐怖袭击性质的城市公共汽电车突发事件，由事件发生地城市交通主管部门根据《中华人民共和国反恐怖主义法》有关规定，立即向当地反恐怖主义工作领导机构报告，并全力配合做好相关处置工作。</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1.5 工作原则</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城市公共汽电车突发事件的应对活动应当在各级地方人民政府的统一领导下，建立分级负责、分类管理、协调联动的交通运输应急管理体制。根据城市公共汽电车突发事件特点，应急处置应坚持以下原则。</w:t>
      </w:r>
    </w:p>
    <w:p>
      <w:pPr>
        <w:keepNext w:val="0"/>
        <w:keepLines w:val="0"/>
        <w:pageBreakBefore w:val="0"/>
        <w:kinsoku/>
        <w:wordWrap w:val="0"/>
        <w:overflowPunct/>
        <w:topLinePunct/>
        <w:autoSpaceDE/>
        <w:autoSpaceDN/>
        <w:bidi w:val="0"/>
        <w:snapToGrid/>
        <w:spacing w:line="560" w:lineRule="exact"/>
        <w:ind w:firstLine="643"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（1）以人民利益为中心，快速反应。</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坚持一切从人民利益出发，把人民群众生命安全放在首位，全力抢救，最大限度地保障人民群众生命和财产安全，减少损失。</w:t>
      </w:r>
    </w:p>
    <w:p>
      <w:pPr>
        <w:keepNext w:val="0"/>
        <w:keepLines w:val="0"/>
        <w:pageBreakBefore w:val="0"/>
        <w:kinsoku/>
        <w:wordWrap w:val="0"/>
        <w:overflowPunct/>
        <w:topLinePunct/>
        <w:autoSpaceDE/>
        <w:autoSpaceDN/>
        <w:bidi w:val="0"/>
        <w:snapToGrid/>
        <w:spacing w:line="560" w:lineRule="exact"/>
        <w:ind w:firstLine="643"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（2）属地管理为主，分级负责。</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在当地政府的统一领导下，按照职责分工和权限，坚持属地为主、分级负责，协调有序地开展抢救、突发事件处置和善后工作。</w:t>
      </w:r>
    </w:p>
    <w:p>
      <w:pPr>
        <w:keepNext w:val="0"/>
        <w:keepLines w:val="0"/>
        <w:pageBreakBefore w:val="0"/>
        <w:kinsoku/>
        <w:wordWrap w:val="0"/>
        <w:overflowPunct/>
        <w:topLinePunct/>
        <w:autoSpaceDE/>
        <w:autoSpaceDN/>
        <w:bidi w:val="0"/>
        <w:snapToGrid/>
        <w:spacing w:line="560" w:lineRule="exact"/>
        <w:ind w:firstLine="643"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（3）预防为主，平战结合。</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贯彻落实“安全第一，预防为主，综合治理”的方针，坚持突发事件处置与预防工作相结合，落实预防城市公共汽电车突发事件的各项措施，完善应急处置机制。</w:t>
      </w:r>
    </w:p>
    <w:p>
      <w:pPr>
        <w:keepNext w:val="0"/>
        <w:keepLines w:val="0"/>
        <w:pageBreakBefore w:val="0"/>
        <w:kinsoku/>
        <w:wordWrap w:val="0"/>
        <w:overflowPunct/>
        <w:topLinePunct/>
        <w:autoSpaceDE/>
        <w:autoSpaceDN/>
        <w:bidi w:val="0"/>
        <w:snapToGrid/>
        <w:spacing w:line="560" w:lineRule="exact"/>
        <w:ind w:firstLine="643"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（4）消除影响，防患于未然。</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尽最大能力控制、减轻和消除突发事件带来的社会危害，并建立完善长效防控机制。</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1.6 预案体系</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城市公共汽电车突发事件应急预案体系应包括</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级城市公共汽电车突发事件应急预案、</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级城市公共汽电车突发事件应急预案及公共汽电车运营企业突发事件应急预案。</w:t>
      </w:r>
    </w:p>
    <w:p>
      <w:pPr>
        <w:keepNext w:val="0"/>
        <w:keepLines w:val="0"/>
        <w:pageBreakBefore w:val="0"/>
        <w:kinsoku/>
        <w:wordWrap w:val="0"/>
        <w:overflowPunct/>
        <w:topLinePunct/>
        <w:autoSpaceDE/>
        <w:autoSpaceDN/>
        <w:bidi w:val="0"/>
        <w:snapToGrid/>
        <w:spacing w:line="560" w:lineRule="exact"/>
        <w:ind w:firstLine="643" w:firstLineChars="200"/>
        <w:jc w:val="both"/>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 xml:space="preserve">1.6.1 </w:t>
      </w:r>
      <w:r>
        <w:rPr>
          <w:rFonts w:hint="eastAsia" w:ascii="仿宋_GB2312" w:hAnsi="仿宋_GB2312" w:eastAsia="仿宋_GB2312" w:cs="仿宋_GB2312"/>
          <w:b/>
          <w:bCs w:val="0"/>
          <w:color w:val="000000"/>
          <w:sz w:val="32"/>
          <w:szCs w:val="32"/>
          <w:lang w:eastAsia="zh-CN"/>
        </w:rPr>
        <w:t>市</w:t>
      </w:r>
      <w:r>
        <w:rPr>
          <w:rFonts w:hint="eastAsia" w:ascii="仿宋_GB2312" w:hAnsi="仿宋_GB2312" w:eastAsia="仿宋_GB2312" w:cs="仿宋_GB2312"/>
          <w:b/>
          <w:bCs w:val="0"/>
          <w:color w:val="000000"/>
          <w:sz w:val="32"/>
          <w:szCs w:val="32"/>
        </w:rPr>
        <w:t>级城市公共汽电车突发事件应急预案</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级交通运输主管部门按照交通运输部</w:t>
      </w:r>
      <w:r>
        <w:rPr>
          <w:rFonts w:hint="eastAsia" w:ascii="仿宋_GB2312" w:hAnsi="仿宋_GB2312" w:eastAsia="仿宋_GB2312" w:cs="仿宋_GB2312"/>
          <w:color w:val="000000"/>
          <w:sz w:val="32"/>
          <w:szCs w:val="32"/>
          <w:lang w:eastAsia="zh-CN"/>
        </w:rPr>
        <w:t>、省交通运输厅</w:t>
      </w:r>
      <w:r>
        <w:rPr>
          <w:rFonts w:hint="eastAsia" w:ascii="仿宋_GB2312" w:hAnsi="仿宋_GB2312" w:eastAsia="仿宋_GB2312" w:cs="仿宋_GB2312"/>
          <w:color w:val="000000"/>
          <w:sz w:val="32"/>
          <w:szCs w:val="32"/>
        </w:rPr>
        <w:t>制定的城市公共汽电车突发事件应急预案，在</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级人民政府的领导下和</w:t>
      </w:r>
      <w:r>
        <w:rPr>
          <w:rFonts w:hint="eastAsia" w:ascii="仿宋_GB2312" w:hAnsi="仿宋_GB2312" w:eastAsia="仿宋_GB2312" w:cs="仿宋_GB2312"/>
          <w:color w:val="000000"/>
          <w:sz w:val="32"/>
          <w:szCs w:val="32"/>
          <w:lang w:eastAsia="zh-CN"/>
        </w:rPr>
        <w:t>省</w:t>
      </w:r>
      <w:r>
        <w:rPr>
          <w:rFonts w:hint="eastAsia" w:ascii="仿宋_GB2312" w:hAnsi="仿宋_GB2312" w:eastAsia="仿宋_GB2312" w:cs="仿宋_GB2312"/>
          <w:color w:val="000000"/>
          <w:sz w:val="32"/>
          <w:szCs w:val="32"/>
        </w:rPr>
        <w:t>交通运输</w:t>
      </w:r>
      <w:r>
        <w:rPr>
          <w:rFonts w:hint="eastAsia" w:ascii="仿宋_GB2312" w:hAnsi="仿宋_GB2312" w:eastAsia="仿宋_GB2312" w:cs="仿宋_GB2312"/>
          <w:color w:val="000000"/>
          <w:sz w:val="32"/>
          <w:szCs w:val="32"/>
          <w:lang w:eastAsia="zh-CN"/>
        </w:rPr>
        <w:t>厅</w:t>
      </w:r>
      <w:r>
        <w:rPr>
          <w:rFonts w:hint="eastAsia" w:ascii="仿宋_GB2312" w:hAnsi="仿宋_GB2312" w:eastAsia="仿宋_GB2312" w:cs="仿宋_GB2312"/>
          <w:color w:val="000000"/>
          <w:sz w:val="32"/>
          <w:szCs w:val="32"/>
        </w:rPr>
        <w:t>的指导下，为及时应对本行政区域内发生的城市公共汽电车突发事件而制定的应急预案，由</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级交通运输主管部门组织制定并公布实施，报</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级人民政府和</w:t>
      </w:r>
      <w:r>
        <w:rPr>
          <w:rFonts w:hint="eastAsia" w:ascii="仿宋_GB2312" w:hAnsi="仿宋_GB2312" w:eastAsia="仿宋_GB2312" w:cs="仿宋_GB2312"/>
          <w:color w:val="000000"/>
          <w:sz w:val="32"/>
          <w:szCs w:val="32"/>
          <w:lang w:eastAsia="zh-CN"/>
        </w:rPr>
        <w:t>省</w:t>
      </w:r>
      <w:r>
        <w:rPr>
          <w:rFonts w:hint="eastAsia" w:ascii="仿宋_GB2312" w:hAnsi="仿宋_GB2312" w:eastAsia="仿宋_GB2312" w:cs="仿宋_GB2312"/>
          <w:color w:val="000000"/>
          <w:sz w:val="32"/>
          <w:szCs w:val="32"/>
        </w:rPr>
        <w:t>交通运输</w:t>
      </w:r>
      <w:r>
        <w:rPr>
          <w:rFonts w:hint="eastAsia" w:ascii="仿宋_GB2312" w:hAnsi="仿宋_GB2312" w:eastAsia="仿宋_GB2312" w:cs="仿宋_GB2312"/>
          <w:color w:val="000000"/>
          <w:sz w:val="32"/>
          <w:szCs w:val="32"/>
          <w:lang w:eastAsia="zh-CN"/>
        </w:rPr>
        <w:t>厅</w:t>
      </w:r>
      <w:r>
        <w:rPr>
          <w:rFonts w:hint="eastAsia" w:ascii="仿宋_GB2312" w:hAnsi="仿宋_GB2312" w:eastAsia="仿宋_GB2312" w:cs="仿宋_GB2312"/>
          <w:color w:val="000000"/>
          <w:sz w:val="32"/>
          <w:szCs w:val="32"/>
        </w:rPr>
        <w:t>备案。</w:t>
      </w:r>
    </w:p>
    <w:p>
      <w:pPr>
        <w:keepNext w:val="0"/>
        <w:keepLines w:val="0"/>
        <w:pageBreakBefore w:val="0"/>
        <w:kinsoku/>
        <w:wordWrap w:val="0"/>
        <w:overflowPunct/>
        <w:topLinePunct/>
        <w:autoSpaceDE/>
        <w:autoSpaceDN/>
        <w:bidi w:val="0"/>
        <w:snapToGrid/>
        <w:spacing w:line="560" w:lineRule="exact"/>
        <w:ind w:firstLine="643" w:firstLineChars="200"/>
        <w:jc w:val="both"/>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 xml:space="preserve">1.6.2 </w:t>
      </w:r>
      <w:r>
        <w:rPr>
          <w:rFonts w:hint="eastAsia" w:ascii="仿宋_GB2312" w:hAnsi="仿宋_GB2312" w:eastAsia="仿宋_GB2312" w:cs="仿宋_GB2312"/>
          <w:b/>
          <w:bCs w:val="0"/>
          <w:color w:val="000000"/>
          <w:sz w:val="32"/>
          <w:szCs w:val="32"/>
          <w:lang w:eastAsia="zh-CN"/>
        </w:rPr>
        <w:t>县</w:t>
      </w:r>
      <w:r>
        <w:rPr>
          <w:rFonts w:hint="eastAsia" w:ascii="仿宋_GB2312" w:hAnsi="仿宋_GB2312" w:eastAsia="仿宋_GB2312" w:cs="仿宋_GB2312"/>
          <w:b/>
          <w:bCs w:val="0"/>
          <w:color w:val="000000"/>
          <w:sz w:val="32"/>
          <w:szCs w:val="32"/>
        </w:rPr>
        <w:t>级城市公共汽电车突发事件应急预案</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级交通运输主管部门按照国家及省级城市公共汽电车突发事件应急预案，在</w:t>
      </w:r>
      <w:r>
        <w:rPr>
          <w:rFonts w:hint="eastAsia" w:ascii="仿宋_GB2312" w:hAnsi="仿宋_GB2312" w:eastAsia="仿宋_GB2312" w:cs="仿宋_GB2312"/>
          <w:color w:val="000000"/>
          <w:sz w:val="32"/>
          <w:szCs w:val="32"/>
          <w:lang w:eastAsia="zh-CN"/>
        </w:rPr>
        <w:t>县级</w:t>
      </w:r>
      <w:r>
        <w:rPr>
          <w:rFonts w:hint="eastAsia" w:ascii="仿宋_GB2312" w:hAnsi="仿宋_GB2312" w:eastAsia="仿宋_GB2312" w:cs="仿宋_GB2312"/>
          <w:color w:val="000000"/>
          <w:sz w:val="32"/>
          <w:szCs w:val="32"/>
        </w:rPr>
        <w:t>人民政府的领导下和</w:t>
      </w:r>
      <w:r>
        <w:rPr>
          <w:rFonts w:hint="eastAsia" w:ascii="仿宋_GB2312" w:hAnsi="仿宋_GB2312" w:eastAsia="仿宋_GB2312" w:cs="仿宋_GB2312"/>
          <w:color w:val="000000"/>
          <w:sz w:val="32"/>
          <w:szCs w:val="32"/>
          <w:lang w:eastAsia="zh-CN"/>
        </w:rPr>
        <w:t>市级</w:t>
      </w:r>
      <w:r>
        <w:rPr>
          <w:rFonts w:hint="eastAsia" w:ascii="仿宋_GB2312" w:hAnsi="仿宋_GB2312" w:eastAsia="仿宋_GB2312" w:cs="仿宋_GB2312"/>
          <w:color w:val="000000"/>
          <w:sz w:val="32"/>
          <w:szCs w:val="32"/>
        </w:rPr>
        <w:t>交通运输主管部门的指导下，为及时应对本行政区域内发生的城市公共汽电车突发事件而制定的应急预案，由</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级交通运输主管部门组织制定并公布实施，报</w:t>
      </w:r>
      <w:r>
        <w:rPr>
          <w:rFonts w:hint="eastAsia" w:ascii="仿宋_GB2312" w:hAnsi="仿宋_GB2312" w:eastAsia="仿宋_GB2312" w:cs="仿宋_GB2312"/>
          <w:color w:val="000000"/>
          <w:sz w:val="32"/>
          <w:szCs w:val="32"/>
          <w:lang w:eastAsia="zh-CN"/>
        </w:rPr>
        <w:t>县级</w:t>
      </w:r>
      <w:r>
        <w:rPr>
          <w:rFonts w:hint="eastAsia" w:ascii="仿宋_GB2312" w:hAnsi="仿宋_GB2312" w:eastAsia="仿宋_GB2312" w:cs="仿宋_GB2312"/>
          <w:color w:val="000000"/>
          <w:sz w:val="32"/>
          <w:szCs w:val="32"/>
        </w:rPr>
        <w:t>人民政府和</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级交通运输主管部门备案。</w:t>
      </w:r>
    </w:p>
    <w:p>
      <w:pPr>
        <w:keepNext w:val="0"/>
        <w:keepLines w:val="0"/>
        <w:pageBreakBefore w:val="0"/>
        <w:kinsoku/>
        <w:wordWrap w:val="0"/>
        <w:overflowPunct/>
        <w:topLinePunct/>
        <w:autoSpaceDE/>
        <w:autoSpaceDN/>
        <w:bidi w:val="0"/>
        <w:snapToGrid/>
        <w:spacing w:line="560" w:lineRule="exact"/>
        <w:ind w:firstLine="643" w:firstLineChars="200"/>
        <w:jc w:val="both"/>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1.6.3 城市公共汽电车运营企业突发事件预案</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城市公共汽电车运营企业根据国家及省级、市级</w:t>
      </w:r>
      <w:r>
        <w:rPr>
          <w:rFonts w:hint="eastAsia" w:ascii="仿宋_GB2312" w:hAnsi="仿宋_GB2312" w:eastAsia="仿宋_GB2312" w:cs="仿宋_GB2312"/>
          <w:color w:val="000000"/>
          <w:sz w:val="32"/>
          <w:szCs w:val="32"/>
          <w:lang w:eastAsia="zh-CN"/>
        </w:rPr>
        <w:t>、县级</w:t>
      </w:r>
      <w:r>
        <w:rPr>
          <w:rFonts w:hint="eastAsia" w:ascii="仿宋_GB2312" w:hAnsi="仿宋_GB2312" w:eastAsia="仿宋_GB2312" w:cs="仿宋_GB2312"/>
          <w:color w:val="000000"/>
          <w:sz w:val="32"/>
          <w:szCs w:val="32"/>
        </w:rPr>
        <w:t>城市公共汽电车突发事件应急预案的要求，结合自身实际，为及时应对可能发生的各类突发事件而制定的应急预案，由各城市公共汽电车运营企业组织制定并实施，报所属地交通运输主管部门备案。</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黑体" w:hAnsi="黑体" w:eastAsia="黑体" w:cs="黑体"/>
          <w:bCs/>
          <w:color w:val="000000"/>
          <w:sz w:val="32"/>
          <w:szCs w:val="32"/>
        </w:rPr>
      </w:pPr>
      <w:r>
        <w:rPr>
          <w:rFonts w:hint="eastAsia" w:ascii="黑体" w:hAnsi="黑体" w:eastAsia="黑体" w:cs="黑体"/>
          <w:bCs/>
          <w:color w:val="000000"/>
          <w:sz w:val="32"/>
          <w:szCs w:val="32"/>
        </w:rPr>
        <w:t>2.组织体系</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全</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城市公共汽电车应急组织体系由市、县、企业</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级组成。</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2.1 </w:t>
      </w:r>
      <w:r>
        <w:rPr>
          <w:rFonts w:hint="eastAsia" w:ascii="楷体_GB2312" w:hAnsi="楷体_GB2312" w:eastAsia="楷体_GB2312" w:cs="楷体_GB2312"/>
          <w:bCs/>
          <w:color w:val="000000"/>
          <w:sz w:val="32"/>
          <w:szCs w:val="32"/>
          <w:lang w:eastAsia="zh-CN"/>
        </w:rPr>
        <w:t>市</w:t>
      </w:r>
      <w:r>
        <w:rPr>
          <w:rFonts w:hint="eastAsia" w:ascii="楷体_GB2312" w:hAnsi="楷体_GB2312" w:eastAsia="楷体_GB2312" w:cs="楷体_GB2312"/>
          <w:bCs/>
          <w:color w:val="000000"/>
          <w:sz w:val="32"/>
          <w:szCs w:val="32"/>
        </w:rPr>
        <w:t>级应急组织机构</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交通运输</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协调、指导全</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Ⅰ、Ⅱ级城市公共汽电车突发事件的应急处置工作。</w:t>
      </w:r>
    </w:p>
    <w:p>
      <w:pPr>
        <w:keepNext w:val="0"/>
        <w:keepLines w:val="0"/>
        <w:pageBreakBefore w:val="0"/>
        <w:kinsoku/>
        <w:wordWrap w:val="0"/>
        <w:overflowPunct/>
        <w:topLinePunct/>
        <w:autoSpaceDE/>
        <w:autoSpaceDN/>
        <w:bidi w:val="0"/>
        <w:snapToGrid/>
        <w:spacing w:line="560" w:lineRule="exact"/>
        <w:ind w:firstLine="643" w:firstLineChars="200"/>
        <w:jc w:val="both"/>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 xml:space="preserve">2.1.1 </w:t>
      </w:r>
      <w:r>
        <w:rPr>
          <w:rFonts w:hint="eastAsia" w:ascii="仿宋_GB2312" w:hAnsi="仿宋_GB2312" w:eastAsia="仿宋_GB2312" w:cs="仿宋_GB2312"/>
          <w:b/>
          <w:bCs w:val="0"/>
          <w:color w:val="000000"/>
          <w:sz w:val="32"/>
          <w:szCs w:val="32"/>
          <w:lang w:eastAsia="zh-CN"/>
        </w:rPr>
        <w:t>市</w:t>
      </w:r>
      <w:r>
        <w:rPr>
          <w:rFonts w:hint="eastAsia" w:ascii="仿宋_GB2312" w:hAnsi="仿宋_GB2312" w:eastAsia="仿宋_GB2312" w:cs="仿宋_GB2312"/>
          <w:b/>
          <w:bCs w:val="0"/>
          <w:color w:val="000000"/>
          <w:sz w:val="32"/>
          <w:szCs w:val="32"/>
        </w:rPr>
        <w:t>应急领导小组</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交通运输</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在启动Ⅰ、Ⅱ级城市公共汽电车突发事件应急响应时，同步成立</w:t>
      </w:r>
      <w:bookmarkStart w:id="5" w:name="OLE_LINK58"/>
      <w:bookmarkStart w:id="6" w:name="OLE_LINK57"/>
      <w:bookmarkStart w:id="7" w:name="OLE_LINK56"/>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交通运输</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应对XX事件应急工作领导小组（以下简称领导小组）。</w:t>
      </w:r>
      <w:bookmarkEnd w:id="5"/>
      <w:bookmarkEnd w:id="6"/>
      <w:bookmarkEnd w:id="7"/>
    </w:p>
    <w:p>
      <w:pPr>
        <w:keepNext w:val="0"/>
        <w:keepLines w:val="0"/>
        <w:pageBreakBefore w:val="0"/>
        <w:widowControl/>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组长：</w:t>
      </w:r>
      <w:r>
        <w:rPr>
          <w:rFonts w:hint="eastAsia" w:ascii="仿宋_GB2312" w:hAnsi="仿宋_GB2312" w:eastAsia="仿宋_GB2312" w:cs="仿宋_GB2312"/>
          <w:color w:val="000000"/>
          <w:sz w:val="32"/>
          <w:szCs w:val="32"/>
          <w:lang w:eastAsia="zh-CN"/>
        </w:rPr>
        <w:t>市交通运输局局长</w:t>
      </w:r>
    </w:p>
    <w:p>
      <w:pPr>
        <w:keepNext w:val="0"/>
        <w:keepLines w:val="0"/>
        <w:pageBreakBefore w:val="0"/>
        <w:widowControl/>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常务副组长：</w:t>
      </w:r>
      <w:r>
        <w:rPr>
          <w:rFonts w:hint="eastAsia" w:ascii="仿宋_GB2312" w:hAnsi="仿宋_GB2312" w:eastAsia="仿宋_GB2312" w:cs="仿宋_GB2312"/>
          <w:color w:val="000000"/>
          <w:sz w:val="32"/>
          <w:szCs w:val="32"/>
          <w:lang w:eastAsia="zh-CN"/>
        </w:rPr>
        <w:t>市交通运输局</w:t>
      </w:r>
      <w:r>
        <w:rPr>
          <w:rFonts w:hint="eastAsia" w:ascii="仿宋_GB2312" w:hAnsi="仿宋_GB2312" w:eastAsia="仿宋_GB2312" w:cs="仿宋_GB2312"/>
          <w:color w:val="000000"/>
          <w:sz w:val="32"/>
          <w:szCs w:val="32"/>
        </w:rPr>
        <w:t>分管业务</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领导</w:t>
      </w:r>
    </w:p>
    <w:p>
      <w:pPr>
        <w:keepNext w:val="0"/>
        <w:keepLines w:val="0"/>
        <w:pageBreakBefore w:val="0"/>
        <w:widowControl/>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副组长：</w:t>
      </w:r>
      <w:r>
        <w:rPr>
          <w:rFonts w:hint="eastAsia" w:ascii="仿宋_GB2312" w:hAnsi="仿宋_GB2312" w:eastAsia="仿宋_GB2312" w:cs="仿宋_GB2312"/>
          <w:snapToGrid w:val="0"/>
          <w:sz w:val="32"/>
          <w:szCs w:val="32"/>
          <w:lang w:val="en"/>
        </w:rPr>
        <w:t>市交通运输综合服务中心</w:t>
      </w:r>
      <w:r>
        <w:rPr>
          <w:rFonts w:hint="eastAsia" w:ascii="仿宋_GB2312" w:hAnsi="仿宋_GB2312" w:eastAsia="仿宋_GB2312" w:cs="仿宋_GB2312"/>
          <w:snapToGrid w:val="0"/>
          <w:sz w:val="32"/>
          <w:szCs w:val="32"/>
          <w:lang w:val="en" w:eastAsia="zh-CN"/>
        </w:rPr>
        <w:t>主任、市交通运输综合行政执法支队支队长</w:t>
      </w:r>
    </w:p>
    <w:p>
      <w:pPr>
        <w:keepNext w:val="0"/>
        <w:keepLines w:val="0"/>
        <w:pageBreakBefore w:val="0"/>
        <w:widowControl/>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成  员：</w:t>
      </w:r>
      <w:r>
        <w:rPr>
          <w:rFonts w:hint="eastAsia" w:ascii="仿宋_GB2312" w:hAnsi="仿宋_GB2312" w:eastAsia="仿宋_GB2312" w:cs="仿宋_GB2312"/>
          <w:color w:val="000000"/>
          <w:sz w:val="32"/>
          <w:szCs w:val="32"/>
          <w:lang w:eastAsia="zh-CN"/>
        </w:rPr>
        <w:t>局党政办</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法规科、运输科、公路科、财审科、安监科、机关党委主要负责人，</w:t>
      </w:r>
      <w:r>
        <w:rPr>
          <w:rFonts w:hint="eastAsia" w:ascii="仿宋_GB2312" w:hAnsi="仿宋_GB2312" w:eastAsia="仿宋_GB2312" w:cs="仿宋_GB2312"/>
          <w:snapToGrid w:val="0"/>
          <w:sz w:val="32"/>
          <w:szCs w:val="32"/>
          <w:lang w:val="en"/>
        </w:rPr>
        <w:t>市交通运输综合服务中心</w:t>
      </w:r>
      <w:r>
        <w:rPr>
          <w:rFonts w:hint="eastAsia" w:ascii="仿宋_GB2312" w:hAnsi="仿宋_GB2312" w:eastAsia="仿宋_GB2312" w:cs="仿宋_GB2312"/>
          <w:snapToGrid w:val="0"/>
          <w:sz w:val="32"/>
          <w:szCs w:val="32"/>
          <w:lang w:val="en" w:eastAsia="zh-CN"/>
        </w:rPr>
        <w:t>、市交通运输综合行政执法支队分管负责人，</w:t>
      </w:r>
      <w:r>
        <w:rPr>
          <w:rFonts w:hint="eastAsia" w:ascii="仿宋_GB2312" w:hAnsi="仿宋_GB2312" w:eastAsia="仿宋_GB2312" w:cs="仿宋_GB2312"/>
          <w:snapToGrid w:val="0"/>
          <w:sz w:val="32"/>
          <w:szCs w:val="32"/>
        </w:rPr>
        <w:t>市农村公路管理所</w:t>
      </w:r>
      <w:r>
        <w:rPr>
          <w:rFonts w:hint="eastAsia" w:ascii="仿宋_GB2312" w:hAnsi="仿宋_GB2312" w:eastAsia="仿宋_GB2312" w:cs="仿宋_GB2312"/>
          <w:snapToGrid w:val="0"/>
          <w:sz w:val="32"/>
          <w:szCs w:val="32"/>
          <w:lang w:eastAsia="zh-CN"/>
        </w:rPr>
        <w:t>、市综合交通运行指挥中心、市城市公共交通发展服务中心主要负责人。</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领导小组主要职责如下：</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（1）负责启动、终止省级应急预案响应。组织协调Ⅰ级（特别重大）和Ⅱ级（重大）城市公共汽电车突发事件的应急处置工作，明确应急工作组的构成，指导应急处置工作。</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（2）根据</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政府要求，或根据应急处置需要，成立现场工作组，并派往突发事件现场开展应急处置工作。</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（3）根据需要，会同</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政府有关部门制定应对突发事件的联合行动方案。</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（4）当突发事件由</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政府、</w:t>
      </w:r>
      <w:r>
        <w:rPr>
          <w:rFonts w:hint="eastAsia" w:ascii="仿宋_GB2312" w:hAnsi="仿宋_GB2312" w:eastAsia="仿宋_GB2312" w:cs="仿宋_GB2312"/>
          <w:color w:val="000000"/>
          <w:sz w:val="32"/>
          <w:szCs w:val="32"/>
          <w:lang w:eastAsia="zh-CN"/>
        </w:rPr>
        <w:t>省</w:t>
      </w:r>
      <w:r>
        <w:rPr>
          <w:rFonts w:hint="eastAsia" w:ascii="仿宋_GB2312" w:hAnsi="仿宋_GB2312" w:eastAsia="仿宋_GB2312" w:cs="仿宋_GB2312"/>
          <w:color w:val="000000"/>
          <w:sz w:val="32"/>
          <w:szCs w:val="32"/>
        </w:rPr>
        <w:t>交通运输</w:t>
      </w:r>
      <w:r>
        <w:rPr>
          <w:rFonts w:hint="eastAsia" w:ascii="仿宋_GB2312" w:hAnsi="仿宋_GB2312" w:eastAsia="仿宋_GB2312" w:cs="仿宋_GB2312"/>
          <w:color w:val="000000"/>
          <w:sz w:val="32"/>
          <w:szCs w:val="32"/>
          <w:lang w:eastAsia="zh-CN"/>
        </w:rPr>
        <w:t>厅</w:t>
      </w:r>
      <w:r>
        <w:rPr>
          <w:rFonts w:hint="eastAsia" w:ascii="仿宋_GB2312" w:hAnsi="仿宋_GB2312" w:eastAsia="仿宋_GB2312" w:cs="仿宋_GB2312"/>
          <w:color w:val="000000"/>
          <w:sz w:val="32"/>
          <w:szCs w:val="32"/>
        </w:rPr>
        <w:t>统一指挥时，按照</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政府、</w:t>
      </w:r>
      <w:r>
        <w:rPr>
          <w:rFonts w:hint="eastAsia" w:ascii="仿宋_GB2312" w:hAnsi="仿宋_GB2312" w:eastAsia="仿宋_GB2312" w:cs="仿宋_GB2312"/>
          <w:color w:val="000000"/>
          <w:sz w:val="32"/>
          <w:szCs w:val="32"/>
          <w:lang w:eastAsia="zh-CN"/>
        </w:rPr>
        <w:t>省</w:t>
      </w:r>
      <w:r>
        <w:rPr>
          <w:rFonts w:hint="eastAsia" w:ascii="仿宋_GB2312" w:hAnsi="仿宋_GB2312" w:eastAsia="仿宋_GB2312" w:cs="仿宋_GB2312"/>
          <w:color w:val="000000"/>
          <w:sz w:val="32"/>
          <w:szCs w:val="32"/>
        </w:rPr>
        <w:t>交通运输</w:t>
      </w:r>
      <w:r>
        <w:rPr>
          <w:rFonts w:hint="eastAsia" w:ascii="仿宋_GB2312" w:hAnsi="仿宋_GB2312" w:eastAsia="仿宋_GB2312" w:cs="仿宋_GB2312"/>
          <w:color w:val="000000"/>
          <w:sz w:val="32"/>
          <w:szCs w:val="32"/>
          <w:lang w:eastAsia="zh-CN"/>
        </w:rPr>
        <w:t>厅</w:t>
      </w:r>
      <w:r>
        <w:rPr>
          <w:rFonts w:hint="eastAsia" w:ascii="仿宋_GB2312" w:hAnsi="仿宋_GB2312" w:eastAsia="仿宋_GB2312" w:cs="仿宋_GB2312"/>
          <w:color w:val="000000"/>
          <w:sz w:val="32"/>
          <w:szCs w:val="32"/>
        </w:rPr>
        <w:t>的指令执行相应的应急行动。</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（5）决定应急响应终止。</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（6）研究决定道路运输应急保障的其他重大事项。</w:t>
      </w:r>
    </w:p>
    <w:p>
      <w:pPr>
        <w:keepNext w:val="0"/>
        <w:keepLines w:val="0"/>
        <w:pageBreakBefore w:val="0"/>
        <w:kinsoku/>
        <w:wordWrap w:val="0"/>
        <w:overflowPunct/>
        <w:topLinePunct/>
        <w:autoSpaceDE/>
        <w:autoSpaceDN/>
        <w:bidi w:val="0"/>
        <w:snapToGrid/>
        <w:spacing w:line="560" w:lineRule="exact"/>
        <w:ind w:firstLine="643" w:firstLineChars="200"/>
        <w:jc w:val="both"/>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2.</w:t>
      </w:r>
      <w:bookmarkStart w:id="8" w:name="OLE_LINK18"/>
      <w:bookmarkStart w:id="9" w:name="OLE_LINK67"/>
      <w:bookmarkStart w:id="10" w:name="OLE_LINK68"/>
      <w:bookmarkStart w:id="11" w:name="OLE_LINK66"/>
      <w:bookmarkStart w:id="12" w:name="OLE_LINK19"/>
      <w:bookmarkStart w:id="13" w:name="OLE_LINK15"/>
      <w:r>
        <w:rPr>
          <w:rFonts w:hint="eastAsia" w:ascii="仿宋_GB2312" w:hAnsi="仿宋_GB2312" w:eastAsia="仿宋_GB2312" w:cs="仿宋_GB2312"/>
          <w:b/>
          <w:bCs w:val="0"/>
          <w:color w:val="000000"/>
          <w:sz w:val="32"/>
          <w:szCs w:val="32"/>
        </w:rPr>
        <w:t>1.2</w:t>
      </w:r>
      <w:bookmarkEnd w:id="8"/>
      <w:bookmarkEnd w:id="9"/>
      <w:bookmarkEnd w:id="10"/>
      <w:bookmarkEnd w:id="11"/>
      <w:bookmarkEnd w:id="12"/>
      <w:bookmarkEnd w:id="13"/>
      <w:r>
        <w:rPr>
          <w:rFonts w:hint="eastAsia" w:ascii="仿宋_GB2312" w:hAnsi="仿宋_GB2312" w:eastAsia="仿宋_GB2312" w:cs="仿宋_GB2312"/>
          <w:b/>
          <w:bCs w:val="0"/>
          <w:color w:val="000000"/>
          <w:sz w:val="32"/>
          <w:szCs w:val="32"/>
        </w:rPr>
        <w:t xml:space="preserve"> 日常机构</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全省城市公共汽电车突发事件应急管理日常工作机构设在</w:t>
      </w:r>
      <w:r>
        <w:rPr>
          <w:rFonts w:hint="eastAsia" w:ascii="仿宋_GB2312" w:hAnsi="仿宋_GB2312" w:eastAsia="仿宋_GB2312" w:cs="仿宋_GB2312"/>
          <w:color w:val="000000"/>
          <w:sz w:val="32"/>
          <w:szCs w:val="32"/>
          <w:lang w:eastAsia="zh-CN"/>
        </w:rPr>
        <w:t>局运输科</w:t>
      </w:r>
      <w:r>
        <w:rPr>
          <w:rFonts w:hint="eastAsia" w:ascii="仿宋_GB2312" w:hAnsi="仿宋_GB2312" w:eastAsia="仿宋_GB2312" w:cs="仿宋_GB2312"/>
          <w:color w:val="000000"/>
          <w:sz w:val="32"/>
          <w:szCs w:val="32"/>
        </w:rPr>
        <w:t>，负责有关城市公共汽电车突发事件应急管理工作。</w:t>
      </w:r>
      <w:r>
        <w:rPr>
          <w:rFonts w:hint="eastAsia" w:ascii="仿宋_GB2312" w:hAnsi="仿宋_GB2312" w:eastAsia="仿宋_GB2312" w:cs="仿宋_GB2312"/>
          <w:b w:val="0"/>
          <w:bCs w:val="0"/>
          <w:snapToGrid w:val="0"/>
          <w:color w:val="000000"/>
          <w:sz w:val="32"/>
          <w:szCs w:val="32"/>
          <w:lang w:eastAsia="zh-CN"/>
        </w:rPr>
        <w:t>市综合交通运行指挥中心</w:t>
      </w:r>
      <w:r>
        <w:rPr>
          <w:rFonts w:hint="eastAsia" w:ascii="仿宋_GB2312" w:hAnsi="仿宋_GB2312" w:eastAsia="仿宋_GB2312" w:cs="仿宋_GB2312"/>
          <w:b w:val="0"/>
          <w:bCs w:val="0"/>
          <w:color w:val="000000"/>
          <w:kern w:val="0"/>
          <w:sz w:val="32"/>
          <w:szCs w:val="32"/>
        </w:rPr>
        <w:t>为</w:t>
      </w:r>
      <w:r>
        <w:rPr>
          <w:rFonts w:hint="eastAsia" w:ascii="仿宋_GB2312" w:hAnsi="仿宋_GB2312" w:eastAsia="仿宋_GB2312" w:cs="仿宋_GB2312"/>
          <w:b w:val="0"/>
          <w:bCs w:val="0"/>
          <w:color w:val="000000"/>
          <w:kern w:val="0"/>
          <w:sz w:val="32"/>
          <w:szCs w:val="32"/>
          <w:lang w:eastAsia="zh-CN"/>
        </w:rPr>
        <w:t>市</w:t>
      </w:r>
      <w:r>
        <w:rPr>
          <w:rFonts w:hint="eastAsia" w:ascii="仿宋_GB2312" w:hAnsi="仿宋_GB2312" w:eastAsia="仿宋_GB2312" w:cs="仿宋_GB2312"/>
          <w:b w:val="0"/>
          <w:bCs w:val="0"/>
          <w:color w:val="000000"/>
          <w:kern w:val="0"/>
          <w:sz w:val="32"/>
          <w:szCs w:val="32"/>
        </w:rPr>
        <w:t>级交通运输值班值守、</w:t>
      </w:r>
      <w:r>
        <w:rPr>
          <w:rFonts w:hint="eastAsia" w:ascii="仿宋_GB2312" w:hAnsi="仿宋_GB2312" w:eastAsia="仿宋_GB2312" w:cs="仿宋_GB2312"/>
          <w:b w:val="0"/>
          <w:bCs w:val="0"/>
          <w:color w:val="000000"/>
          <w:kern w:val="0"/>
          <w:sz w:val="32"/>
          <w:szCs w:val="32"/>
          <w:lang w:val="en-US" w:eastAsia="zh-CN"/>
        </w:rPr>
        <w:t>值班信息上传下达、</w:t>
      </w:r>
      <w:r>
        <w:rPr>
          <w:rFonts w:hint="eastAsia" w:ascii="仿宋_GB2312" w:hAnsi="仿宋_GB2312" w:eastAsia="仿宋_GB2312" w:cs="仿宋_GB2312"/>
          <w:kern w:val="0"/>
          <w:sz w:val="32"/>
          <w:szCs w:val="32"/>
        </w:rPr>
        <w:t>出行信息服务</w:t>
      </w:r>
      <w:r>
        <w:rPr>
          <w:rFonts w:hint="eastAsia" w:ascii="仿宋_GB2312" w:hAnsi="仿宋_GB2312" w:eastAsia="仿宋_GB2312" w:cs="仿宋_GB2312"/>
          <w:b w:val="0"/>
          <w:bCs w:val="0"/>
          <w:color w:val="000000"/>
          <w:kern w:val="0"/>
          <w:sz w:val="32"/>
          <w:szCs w:val="32"/>
          <w:lang w:val="en-US" w:eastAsia="zh-CN"/>
        </w:rPr>
        <w:t>工作</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snapToGrid w:val="0"/>
          <w:sz w:val="32"/>
          <w:szCs w:val="32"/>
          <w:lang w:val="en"/>
        </w:rPr>
        <w:t>市交通运输综合服务中心</w:t>
      </w:r>
      <w:r>
        <w:rPr>
          <w:rFonts w:hint="eastAsia" w:ascii="仿宋_GB2312" w:hAnsi="仿宋_GB2312" w:eastAsia="仿宋_GB2312" w:cs="仿宋_GB2312"/>
          <w:snapToGrid w:val="0"/>
          <w:sz w:val="32"/>
          <w:szCs w:val="32"/>
          <w:lang w:val="en" w:eastAsia="zh-CN"/>
        </w:rPr>
        <w:t>、市交通运输综合行政执法支队、</w:t>
      </w:r>
      <w:r>
        <w:rPr>
          <w:rFonts w:hint="eastAsia" w:ascii="仿宋_GB2312" w:hAnsi="仿宋_GB2312" w:eastAsia="仿宋_GB2312" w:cs="仿宋_GB2312"/>
          <w:snapToGrid w:val="0"/>
          <w:sz w:val="32"/>
          <w:szCs w:val="32"/>
          <w:lang w:eastAsia="zh-CN"/>
        </w:rPr>
        <w:t>市城市公共交通发展服务中心</w:t>
      </w:r>
      <w:r>
        <w:rPr>
          <w:rFonts w:hint="eastAsia" w:ascii="仿宋_GB2312" w:hAnsi="仿宋_GB2312" w:eastAsia="仿宋_GB2312" w:cs="仿宋_GB2312"/>
          <w:color w:val="000000"/>
          <w:sz w:val="32"/>
          <w:szCs w:val="32"/>
        </w:rPr>
        <w:t>具体承担有关城市公共汽电车突发事件应急体系建设和日常应急管理工作。</w:t>
      </w:r>
    </w:p>
    <w:p>
      <w:pPr>
        <w:keepNext w:val="0"/>
        <w:keepLines w:val="0"/>
        <w:pageBreakBefore w:val="0"/>
        <w:kinsoku/>
        <w:wordWrap w:val="0"/>
        <w:overflowPunct/>
        <w:topLinePunct/>
        <w:autoSpaceDE/>
        <w:autoSpaceDN/>
        <w:bidi w:val="0"/>
        <w:snapToGrid/>
        <w:spacing w:line="560" w:lineRule="exact"/>
        <w:ind w:firstLine="643" w:firstLineChars="200"/>
        <w:jc w:val="both"/>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2.1.3 应急工作组</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领导小组下设综合协调组、应急指挥组、通信保障组、新闻宣传组、后勤保障组等应急工作组。应急工作组由</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交通运输</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相关</w:t>
      </w:r>
      <w:r>
        <w:rPr>
          <w:rFonts w:hint="eastAsia" w:ascii="仿宋_GB2312" w:hAnsi="仿宋_GB2312" w:eastAsia="仿宋_GB2312" w:cs="仿宋_GB2312"/>
          <w:color w:val="000000"/>
          <w:sz w:val="32"/>
          <w:szCs w:val="32"/>
          <w:lang w:eastAsia="zh-CN"/>
        </w:rPr>
        <w:t>科</w:t>
      </w:r>
      <w:r>
        <w:rPr>
          <w:rFonts w:hint="eastAsia" w:ascii="仿宋_GB2312" w:hAnsi="仿宋_GB2312" w:eastAsia="仿宋_GB2312" w:cs="仿宋_GB2312"/>
          <w:color w:val="000000"/>
          <w:sz w:val="32"/>
          <w:szCs w:val="32"/>
        </w:rPr>
        <w:t>室和单位组成，在领导小组统一指挥下开展工作，并在应急响应终止时宣布取消。应急工作组成员由各应急工作组组长根据应急工作需要提出，报领导小组批准。</w:t>
      </w:r>
    </w:p>
    <w:p>
      <w:pPr>
        <w:keepNext w:val="0"/>
        <w:keepLines w:val="0"/>
        <w:pageBreakBefore w:val="0"/>
        <w:widowControl/>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rPr>
        <w:t>（1）综合协调组。由</w:t>
      </w:r>
      <w:r>
        <w:rPr>
          <w:rFonts w:hint="eastAsia" w:ascii="仿宋_GB2312" w:hAnsi="仿宋_GB2312" w:eastAsia="仿宋_GB2312" w:cs="仿宋_GB2312"/>
          <w:color w:val="000000"/>
          <w:kern w:val="0"/>
          <w:sz w:val="32"/>
          <w:szCs w:val="32"/>
          <w:lang w:eastAsia="zh-CN"/>
        </w:rPr>
        <w:t>局党政办</w:t>
      </w:r>
      <w:r>
        <w:rPr>
          <w:rFonts w:hint="eastAsia" w:ascii="仿宋_GB2312" w:hAnsi="仿宋_GB2312" w:eastAsia="仿宋_GB2312" w:cs="仿宋_GB2312"/>
          <w:color w:val="000000"/>
          <w:kern w:val="0"/>
          <w:sz w:val="32"/>
          <w:szCs w:val="32"/>
        </w:rPr>
        <w:t>负责人任组长，</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应急办负责人任副组长，视情由</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机关</w:t>
      </w:r>
      <w:r>
        <w:rPr>
          <w:rFonts w:hint="eastAsia" w:ascii="仿宋_GB2312" w:hAnsi="仿宋_GB2312" w:eastAsia="仿宋_GB2312" w:cs="仿宋_GB2312"/>
          <w:color w:val="000000"/>
          <w:kern w:val="0"/>
          <w:sz w:val="32"/>
          <w:szCs w:val="32"/>
          <w:lang w:eastAsia="zh-CN"/>
        </w:rPr>
        <w:t>相关科室</w:t>
      </w:r>
      <w:r>
        <w:rPr>
          <w:rFonts w:hint="eastAsia" w:ascii="仿宋_GB2312" w:hAnsi="仿宋_GB2312" w:eastAsia="仿宋_GB2312" w:cs="仿宋_GB2312"/>
          <w:color w:val="000000"/>
          <w:kern w:val="0"/>
          <w:sz w:val="32"/>
          <w:szCs w:val="32"/>
        </w:rPr>
        <w:t>和</w:t>
      </w:r>
      <w:r>
        <w:rPr>
          <w:rFonts w:hint="eastAsia" w:ascii="仿宋_GB2312" w:hAnsi="仿宋_GB2312" w:eastAsia="仿宋_GB2312" w:cs="仿宋_GB2312"/>
          <w:snapToGrid w:val="0"/>
          <w:sz w:val="32"/>
          <w:szCs w:val="32"/>
          <w:lang w:val="en"/>
        </w:rPr>
        <w:t>市交通运输综合服务中心</w:t>
      </w:r>
      <w:r>
        <w:rPr>
          <w:rFonts w:hint="eastAsia" w:ascii="仿宋_GB2312" w:hAnsi="仿宋_GB2312" w:eastAsia="仿宋_GB2312" w:cs="仿宋_GB2312"/>
          <w:snapToGrid w:val="0"/>
          <w:sz w:val="32"/>
          <w:szCs w:val="32"/>
          <w:lang w:val="en" w:eastAsia="zh-CN"/>
        </w:rPr>
        <w:t>、市交通运输综合行政执法支队、</w:t>
      </w:r>
      <w:r>
        <w:rPr>
          <w:rFonts w:hint="eastAsia" w:ascii="仿宋_GB2312" w:hAnsi="仿宋_GB2312" w:eastAsia="仿宋_GB2312" w:cs="仿宋_GB2312"/>
          <w:snapToGrid w:val="0"/>
          <w:sz w:val="32"/>
          <w:szCs w:val="32"/>
          <w:lang w:eastAsia="zh-CN"/>
        </w:rPr>
        <w:t>市城市公共交通发展服务中心、市城市公共交通发展服务中心</w:t>
      </w:r>
      <w:r>
        <w:rPr>
          <w:rFonts w:hint="eastAsia" w:ascii="仿宋_GB2312" w:hAnsi="仿宋_GB2312" w:eastAsia="仿宋_GB2312" w:cs="仿宋_GB2312"/>
          <w:color w:val="000000"/>
          <w:kern w:val="0"/>
          <w:sz w:val="32"/>
          <w:szCs w:val="32"/>
        </w:rPr>
        <w:t>相人员组成。负责与各应急协作部门的沟通联系；保持与各应急工作组的信息沟通及工作协调；搜集、分析和汇总应急工作情况，跟踪应急处置工作进展情况；定时向领导小组、</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委值班室、</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政府值班室、</w:t>
      </w: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交通运输</w:t>
      </w:r>
      <w:r>
        <w:rPr>
          <w:rFonts w:hint="eastAsia" w:ascii="仿宋_GB2312" w:hAnsi="仿宋_GB2312" w:eastAsia="仿宋_GB2312" w:cs="仿宋_GB2312"/>
          <w:color w:val="000000"/>
          <w:kern w:val="0"/>
          <w:sz w:val="32"/>
          <w:szCs w:val="32"/>
          <w:lang w:eastAsia="zh-CN"/>
        </w:rPr>
        <w:t>厅</w:t>
      </w:r>
      <w:r>
        <w:rPr>
          <w:rFonts w:hint="eastAsia" w:ascii="仿宋_GB2312" w:hAnsi="仿宋_GB2312" w:eastAsia="仿宋_GB2312" w:cs="仿宋_GB2312"/>
          <w:color w:val="000000"/>
          <w:kern w:val="0"/>
          <w:sz w:val="32"/>
          <w:szCs w:val="32"/>
        </w:rPr>
        <w:t>应急办等有关部门报送信息；协助领导小组落实</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委</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政府领导同志以及</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领导的有关要求；承办领导小组交办的其他工作。</w:t>
      </w:r>
    </w:p>
    <w:p>
      <w:pPr>
        <w:keepNext w:val="0"/>
        <w:keepLines w:val="0"/>
        <w:pageBreakBefore w:val="0"/>
        <w:widowControl/>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（2）应急指挥组。由</w:t>
      </w:r>
      <w:r>
        <w:rPr>
          <w:rFonts w:hint="eastAsia" w:ascii="仿宋_GB2312" w:hAnsi="仿宋_GB2312" w:eastAsia="仿宋_GB2312" w:cs="仿宋_GB2312"/>
          <w:color w:val="000000"/>
          <w:kern w:val="0"/>
          <w:sz w:val="32"/>
          <w:szCs w:val="32"/>
          <w:lang w:eastAsia="zh-CN"/>
        </w:rPr>
        <w:t>局运输科</w:t>
      </w:r>
      <w:r>
        <w:rPr>
          <w:rFonts w:hint="eastAsia" w:ascii="仿宋_GB2312" w:hAnsi="仿宋_GB2312" w:eastAsia="仿宋_GB2312" w:cs="仿宋_GB2312"/>
          <w:color w:val="000000"/>
          <w:kern w:val="0"/>
          <w:sz w:val="32"/>
          <w:szCs w:val="32"/>
        </w:rPr>
        <w:t>负责人任组长，</w:t>
      </w:r>
      <w:r>
        <w:rPr>
          <w:rFonts w:hint="eastAsia" w:ascii="仿宋_GB2312" w:hAnsi="仿宋_GB2312" w:eastAsia="仿宋_GB2312" w:cs="仿宋_GB2312"/>
          <w:snapToGrid w:val="0"/>
          <w:sz w:val="32"/>
          <w:szCs w:val="32"/>
          <w:lang w:val="en"/>
        </w:rPr>
        <w:t>市交通运输综合服务中心</w:t>
      </w:r>
      <w:r>
        <w:rPr>
          <w:rFonts w:hint="eastAsia" w:ascii="仿宋_GB2312" w:hAnsi="仿宋_GB2312" w:eastAsia="仿宋_GB2312" w:cs="仿宋_GB2312"/>
          <w:snapToGrid w:val="0"/>
          <w:sz w:val="32"/>
          <w:szCs w:val="32"/>
          <w:lang w:val="en" w:eastAsia="zh-CN"/>
        </w:rPr>
        <w:t>、市交通运输综合行政执法支队、</w:t>
      </w:r>
      <w:r>
        <w:rPr>
          <w:rFonts w:hint="eastAsia" w:ascii="仿宋_GB2312" w:hAnsi="仿宋_GB2312" w:eastAsia="仿宋_GB2312" w:cs="仿宋_GB2312"/>
          <w:snapToGrid w:val="0"/>
          <w:sz w:val="32"/>
          <w:szCs w:val="32"/>
          <w:lang w:eastAsia="zh-CN"/>
        </w:rPr>
        <w:t>市城市公共交通发展服务中心</w:t>
      </w:r>
      <w:r>
        <w:rPr>
          <w:rFonts w:hint="eastAsia" w:ascii="仿宋_GB2312" w:hAnsi="仿宋_GB2312" w:eastAsia="仿宋_GB2312" w:cs="仿宋_GB2312"/>
          <w:color w:val="000000"/>
          <w:kern w:val="0"/>
          <w:sz w:val="32"/>
          <w:szCs w:val="32"/>
        </w:rPr>
        <w:t>分管负责人任副组长，视情由</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机关相关</w:t>
      </w:r>
      <w:r>
        <w:rPr>
          <w:rFonts w:hint="eastAsia" w:ascii="仿宋_GB2312" w:hAnsi="仿宋_GB2312" w:eastAsia="仿宋_GB2312" w:cs="仿宋_GB2312"/>
          <w:color w:val="000000"/>
          <w:kern w:val="0"/>
          <w:sz w:val="32"/>
          <w:szCs w:val="32"/>
          <w:lang w:eastAsia="zh-CN"/>
        </w:rPr>
        <w:t>科</w:t>
      </w:r>
      <w:r>
        <w:rPr>
          <w:rFonts w:hint="eastAsia" w:ascii="仿宋_GB2312" w:hAnsi="仿宋_GB2312" w:eastAsia="仿宋_GB2312" w:cs="仿宋_GB2312"/>
          <w:color w:val="000000"/>
          <w:kern w:val="0"/>
          <w:sz w:val="32"/>
          <w:szCs w:val="32"/>
        </w:rPr>
        <w:t>室人员组成。负责参加</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政府组织的有关事故调查；组织协调</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内应急队伍调度；协调人员、重要物资的应急运输保障工作；协调与其他运输方式的联运工作；拟定应急运输征用补偿资金补助方案；承办领导小组交办的其他工作。</w:t>
      </w:r>
    </w:p>
    <w:p>
      <w:pPr>
        <w:keepNext w:val="0"/>
        <w:keepLines w:val="0"/>
        <w:pageBreakBefore w:val="0"/>
        <w:widowControl/>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（3）通信保障组。由</w:t>
      </w:r>
      <w:r>
        <w:rPr>
          <w:rFonts w:hint="eastAsia" w:ascii="仿宋_GB2312" w:hAnsi="仿宋_GB2312" w:eastAsia="仿宋_GB2312" w:cs="仿宋_GB2312"/>
          <w:snapToGrid w:val="0"/>
          <w:sz w:val="32"/>
          <w:szCs w:val="32"/>
          <w:lang w:eastAsia="zh-CN"/>
        </w:rPr>
        <w:t>市综合交通运行指挥中心</w:t>
      </w:r>
      <w:r>
        <w:rPr>
          <w:rFonts w:hint="eastAsia" w:ascii="仿宋_GB2312" w:hAnsi="仿宋_GB2312" w:eastAsia="仿宋_GB2312" w:cs="仿宋_GB2312"/>
          <w:color w:val="000000"/>
          <w:kern w:val="0"/>
          <w:sz w:val="32"/>
          <w:szCs w:val="32"/>
        </w:rPr>
        <w:t>负责人任组长，</w:t>
      </w:r>
      <w:r>
        <w:rPr>
          <w:rFonts w:hint="eastAsia" w:ascii="仿宋_GB2312" w:hAnsi="仿宋_GB2312" w:eastAsia="仿宋_GB2312" w:cs="仿宋_GB2312"/>
          <w:snapToGrid w:val="0"/>
          <w:sz w:val="32"/>
          <w:szCs w:val="32"/>
          <w:lang w:val="en"/>
        </w:rPr>
        <w:t>市交通运输综合服务中心</w:t>
      </w:r>
      <w:r>
        <w:rPr>
          <w:rFonts w:hint="eastAsia" w:ascii="仿宋_GB2312" w:hAnsi="仿宋_GB2312" w:eastAsia="仿宋_GB2312" w:cs="仿宋_GB2312"/>
          <w:snapToGrid w:val="0"/>
          <w:sz w:val="32"/>
          <w:szCs w:val="32"/>
          <w:lang w:val="en" w:eastAsia="zh-CN"/>
        </w:rPr>
        <w:t>、市交通运输综合行政执法支队、</w:t>
      </w:r>
      <w:r>
        <w:rPr>
          <w:rFonts w:hint="eastAsia" w:ascii="仿宋_GB2312" w:hAnsi="仿宋_GB2312" w:eastAsia="仿宋_GB2312" w:cs="仿宋_GB2312"/>
          <w:snapToGrid w:val="0"/>
          <w:sz w:val="32"/>
          <w:szCs w:val="32"/>
          <w:lang w:eastAsia="zh-CN"/>
        </w:rPr>
        <w:t>市城市公共交通发展服务中心</w:t>
      </w:r>
      <w:r>
        <w:rPr>
          <w:rFonts w:hint="eastAsia" w:ascii="仿宋_GB2312" w:hAnsi="仿宋_GB2312" w:eastAsia="仿宋_GB2312" w:cs="仿宋_GB2312"/>
          <w:color w:val="000000"/>
          <w:kern w:val="0"/>
          <w:sz w:val="32"/>
          <w:szCs w:val="32"/>
        </w:rPr>
        <w:t>相关部门人员任成员。负责应急响应过程中的网络、视频、通信等保障工作；承办领导小组交办的其他工作。</w:t>
      </w:r>
    </w:p>
    <w:p>
      <w:pPr>
        <w:keepNext w:val="0"/>
        <w:keepLines w:val="0"/>
        <w:pageBreakBefore w:val="0"/>
        <w:widowControl/>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（4）新闻宣传组。由</w:t>
      </w:r>
      <w:r>
        <w:rPr>
          <w:rFonts w:hint="eastAsia" w:ascii="仿宋_GB2312" w:hAnsi="仿宋_GB2312" w:eastAsia="仿宋_GB2312" w:cs="仿宋_GB2312"/>
          <w:color w:val="000000"/>
          <w:kern w:val="0"/>
          <w:sz w:val="32"/>
          <w:szCs w:val="32"/>
          <w:lang w:eastAsia="zh-CN"/>
        </w:rPr>
        <w:t>局机关党委</w:t>
      </w:r>
      <w:r>
        <w:rPr>
          <w:rFonts w:hint="eastAsia" w:ascii="仿宋_GB2312" w:hAnsi="仿宋_GB2312" w:eastAsia="仿宋_GB2312" w:cs="仿宋_GB2312"/>
          <w:color w:val="000000"/>
          <w:kern w:val="0"/>
          <w:sz w:val="32"/>
          <w:szCs w:val="32"/>
        </w:rPr>
        <w:t>负责人任组长，视情由</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机关相关</w:t>
      </w:r>
      <w:r>
        <w:rPr>
          <w:rFonts w:hint="eastAsia" w:ascii="仿宋_GB2312" w:hAnsi="仿宋_GB2312" w:eastAsia="仿宋_GB2312" w:cs="仿宋_GB2312"/>
          <w:color w:val="000000"/>
          <w:kern w:val="0"/>
          <w:sz w:val="32"/>
          <w:szCs w:val="32"/>
          <w:lang w:eastAsia="zh-CN"/>
        </w:rPr>
        <w:t>科</w:t>
      </w:r>
      <w:r>
        <w:rPr>
          <w:rFonts w:hint="eastAsia" w:ascii="仿宋_GB2312" w:hAnsi="仿宋_GB2312" w:eastAsia="仿宋_GB2312" w:cs="仿宋_GB2312"/>
          <w:color w:val="000000"/>
          <w:kern w:val="0"/>
          <w:sz w:val="32"/>
          <w:szCs w:val="32"/>
        </w:rPr>
        <w:t>室和单位人员组成。负责向社会通报突发事件影响及应急处置工作进展情况；负责协调有关新闻媒体，宣传报道应急保障工作中的先进典型与事迹；承办领导小组交办的其他工作。</w:t>
      </w:r>
    </w:p>
    <w:p>
      <w:pPr>
        <w:keepNext w:val="0"/>
        <w:keepLines w:val="0"/>
        <w:pageBreakBefore w:val="0"/>
        <w:widowControl/>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（5）后勤保障组。由</w:t>
      </w:r>
      <w:r>
        <w:rPr>
          <w:rFonts w:hint="eastAsia" w:ascii="仿宋_GB2312" w:hAnsi="仿宋_GB2312" w:eastAsia="仿宋_GB2312" w:cs="仿宋_GB2312"/>
          <w:color w:val="000000"/>
          <w:kern w:val="0"/>
          <w:sz w:val="32"/>
          <w:szCs w:val="32"/>
          <w:lang w:eastAsia="zh-CN"/>
        </w:rPr>
        <w:t>局党政办</w:t>
      </w:r>
      <w:r>
        <w:rPr>
          <w:rFonts w:hint="eastAsia" w:ascii="仿宋_GB2312" w:hAnsi="仿宋_GB2312" w:eastAsia="仿宋_GB2312" w:cs="仿宋_GB2312"/>
          <w:color w:val="000000"/>
          <w:kern w:val="0"/>
          <w:sz w:val="32"/>
          <w:szCs w:val="32"/>
        </w:rPr>
        <w:t>负责人任组长，负责应急保障期间的应急保障工作的后勤服务保障；承办领导小组交办的其他工作。</w:t>
      </w:r>
    </w:p>
    <w:p>
      <w:pPr>
        <w:keepNext w:val="0"/>
        <w:keepLines w:val="0"/>
        <w:pageBreakBefore w:val="0"/>
        <w:kinsoku/>
        <w:wordWrap w:val="0"/>
        <w:overflowPunct/>
        <w:topLinePunct/>
        <w:autoSpaceDE/>
        <w:autoSpaceDN/>
        <w:bidi w:val="0"/>
        <w:snapToGrid/>
        <w:spacing w:line="560" w:lineRule="exact"/>
        <w:ind w:firstLine="643" w:firstLineChars="200"/>
        <w:jc w:val="both"/>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2.1.4 专家组</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由城市公共汽电车行业及相关行业的安全、技术、科研、管理、法律等方面专家组成。负责对应急准备以及应急行动方案提供专业咨询和建议，根据需要参加城市公共汽电车突发事件的应急处置工作。</w:t>
      </w:r>
    </w:p>
    <w:p>
      <w:pPr>
        <w:keepNext w:val="0"/>
        <w:keepLines w:val="0"/>
        <w:pageBreakBefore w:val="0"/>
        <w:kinsoku/>
        <w:wordWrap w:val="0"/>
        <w:overflowPunct/>
        <w:topLinePunct/>
        <w:autoSpaceDE/>
        <w:autoSpaceDN/>
        <w:bidi w:val="0"/>
        <w:snapToGrid/>
        <w:spacing w:line="560" w:lineRule="exact"/>
        <w:ind w:firstLine="643" w:firstLineChars="200"/>
        <w:jc w:val="both"/>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2.1.5 现场工作组</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eastAsia="zh-CN"/>
        </w:rPr>
        <w:t>局运输科</w:t>
      </w:r>
      <w:r>
        <w:rPr>
          <w:rFonts w:hint="eastAsia" w:ascii="仿宋_GB2312" w:hAnsi="仿宋_GB2312" w:eastAsia="仿宋_GB2312" w:cs="仿宋_GB2312"/>
          <w:color w:val="000000"/>
          <w:sz w:val="32"/>
          <w:szCs w:val="32"/>
        </w:rPr>
        <w:t>等有关处室人员及相关专家组成，必要时由</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领导带队。按照统一部署，在突发事件现场协助开展突发事件应急处置工作，并及时向领导小组报告现场有关情况。</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2.</w:t>
      </w:r>
      <w:bookmarkStart w:id="14" w:name="OLE_LINK24"/>
      <w:bookmarkStart w:id="15" w:name="OLE_LINK16"/>
      <w:bookmarkStart w:id="16" w:name="OLE_LINK17"/>
      <w:bookmarkStart w:id="17" w:name="OLE_LINK23"/>
      <w:r>
        <w:rPr>
          <w:rFonts w:hint="eastAsia" w:ascii="楷体_GB2312" w:hAnsi="楷体_GB2312" w:eastAsia="楷体_GB2312" w:cs="楷体_GB2312"/>
          <w:bCs/>
          <w:color w:val="000000"/>
          <w:sz w:val="32"/>
          <w:szCs w:val="32"/>
        </w:rPr>
        <w:t>2</w:t>
      </w:r>
      <w:r>
        <w:rPr>
          <w:rFonts w:hint="eastAsia" w:ascii="楷体_GB2312" w:hAnsi="楷体_GB2312" w:eastAsia="楷体_GB2312" w:cs="楷体_GB2312"/>
          <w:bCs/>
          <w:color w:val="000000"/>
          <w:sz w:val="32"/>
          <w:szCs w:val="32"/>
          <w:lang w:eastAsia="zh-CN"/>
        </w:rPr>
        <w:t>县级</w:t>
      </w:r>
      <w:r>
        <w:rPr>
          <w:rFonts w:hint="eastAsia" w:ascii="楷体_GB2312" w:hAnsi="楷体_GB2312" w:eastAsia="楷体_GB2312" w:cs="楷体_GB2312"/>
          <w:bCs/>
          <w:color w:val="000000"/>
          <w:sz w:val="32"/>
          <w:szCs w:val="32"/>
        </w:rPr>
        <w:t>应急</w:t>
      </w:r>
      <w:bookmarkEnd w:id="14"/>
      <w:bookmarkEnd w:id="15"/>
      <w:bookmarkEnd w:id="16"/>
      <w:bookmarkEnd w:id="17"/>
      <w:r>
        <w:rPr>
          <w:rFonts w:hint="eastAsia" w:ascii="楷体_GB2312" w:hAnsi="楷体_GB2312" w:eastAsia="楷体_GB2312" w:cs="楷体_GB2312"/>
          <w:bCs/>
          <w:color w:val="000000"/>
          <w:sz w:val="32"/>
          <w:szCs w:val="32"/>
        </w:rPr>
        <w:t>组织机构</w:t>
      </w:r>
    </w:p>
    <w:p>
      <w:pPr>
        <w:keepNext w:val="0"/>
        <w:keepLines w:val="0"/>
        <w:pageBreakBefore w:val="0"/>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县级交通运输主管部门负责本行政区域内城市公共汽电车突发事件应急处置工作的组织、协调、指导。县级交通运输主管部门可参照省级城市公共汽电车突发事件应急组织机构模式，根据本地区实际情况成立应急组织机构，明确相应人员安排和职责分工。</w:t>
      </w:r>
    </w:p>
    <w:p>
      <w:pPr>
        <w:keepNext w:val="0"/>
        <w:keepLines w:val="0"/>
        <w:pageBreakBefore w:val="0"/>
        <w:kinsoku/>
        <w:wordWrap w:val="0"/>
        <w:overflowPunct/>
        <w:topLinePunct/>
        <w:autoSpaceDE/>
        <w:autoSpaceDN/>
        <w:bidi w:val="0"/>
        <w:snapToGrid/>
        <w:spacing w:line="560" w:lineRule="exact"/>
        <w:ind w:firstLine="643" w:firstLineChars="200"/>
        <w:jc w:val="both"/>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2.2.1 现场应急处置机构组成</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城市公共汽电车突发事件发生后，由事发地市（县）应急工作小组负责组建交通系统现场应急处置机构，由</w:t>
      </w:r>
      <w:bookmarkStart w:id="18" w:name="OLE_LINK32"/>
      <w:bookmarkStart w:id="19" w:name="OLE_LINK25"/>
      <w:bookmarkStart w:id="20" w:name="OLE_LINK31"/>
      <w:r>
        <w:rPr>
          <w:rFonts w:hint="eastAsia" w:ascii="仿宋_GB2312" w:hAnsi="仿宋_GB2312" w:eastAsia="仿宋_GB2312" w:cs="仿宋_GB2312"/>
          <w:color w:val="000000"/>
          <w:kern w:val="0"/>
          <w:sz w:val="32"/>
          <w:szCs w:val="32"/>
        </w:rPr>
        <w:t>市（县）交通运输主管部门主要负责人担任交通系统现场指挥，成员由市（县）交通运输主管部门的有关部门负责人组成</w:t>
      </w:r>
      <w:bookmarkEnd w:id="18"/>
      <w:bookmarkEnd w:id="19"/>
      <w:bookmarkEnd w:id="20"/>
      <w:r>
        <w:rPr>
          <w:rFonts w:hint="eastAsia" w:ascii="仿宋_GB2312" w:hAnsi="仿宋_GB2312" w:eastAsia="仿宋_GB2312" w:cs="仿宋_GB2312"/>
          <w:color w:val="000000"/>
          <w:kern w:val="0"/>
          <w:sz w:val="32"/>
          <w:szCs w:val="32"/>
        </w:rPr>
        <w:t>。</w:t>
      </w:r>
    </w:p>
    <w:p>
      <w:pPr>
        <w:keepNext w:val="0"/>
        <w:keepLines w:val="0"/>
        <w:pageBreakBefore w:val="0"/>
        <w:kinsoku/>
        <w:wordWrap w:val="0"/>
        <w:overflowPunct/>
        <w:topLinePunct/>
        <w:autoSpaceDE/>
        <w:autoSpaceDN/>
        <w:bidi w:val="0"/>
        <w:snapToGrid/>
        <w:spacing w:line="560" w:lineRule="exact"/>
        <w:ind w:firstLine="643" w:firstLineChars="200"/>
        <w:jc w:val="both"/>
        <w:rPr>
          <w:rFonts w:hint="eastAsia" w:ascii="仿宋_GB2312" w:hAnsi="仿宋_GB2312" w:eastAsia="仿宋_GB2312" w:cs="仿宋_GB2312"/>
          <w:b/>
          <w:bCs w:val="0"/>
          <w:color w:val="000000"/>
          <w:kern w:val="0"/>
          <w:sz w:val="32"/>
          <w:szCs w:val="32"/>
        </w:rPr>
      </w:pPr>
      <w:r>
        <w:rPr>
          <w:rFonts w:hint="eastAsia" w:ascii="仿宋_GB2312" w:hAnsi="仿宋_GB2312" w:eastAsia="仿宋_GB2312" w:cs="仿宋_GB2312"/>
          <w:b/>
          <w:bCs w:val="0"/>
          <w:color w:val="000000"/>
          <w:sz w:val="32"/>
          <w:szCs w:val="32"/>
        </w:rPr>
        <w:t>2.2.2 现场应急处置机构主要职责</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现场应急处置机构负责全面掌握事态发生、发展的全过程及相关情况，及时向事发地人民政府和上级应急指导（工作）小组报告；根据上级指示，具体组织实施现场处置工作；做好舆论导向；现场处置工作全过程的总结、报告。</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2.3运营企业</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公共汽电车运营企业是城市公共汽电车突发事件应对工作的责任主体，负责建立健全本企业应急指挥机制，制订相应的城市公共交通运输突发事件应急预案，成立应急救援组织机构，组建专业应急抢险队伍，配备完善的抢险设备、交通工具，并定期组织演练；积极组织开展应急救援知识培训教育和宣传工作；出现突发事件应及时向所在地人民政府和城市公共交通运输突发事件应急指挥机构报告，并立即组织应急抢险。针对可能发生的突发事件完善应急预案体系，建立与相关单位的信息共享和应急联动机制。</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黑体" w:hAnsi="黑体" w:eastAsia="黑体" w:cs="黑体"/>
          <w:bCs/>
          <w:color w:val="000000"/>
          <w:sz w:val="32"/>
          <w:szCs w:val="32"/>
        </w:rPr>
      </w:pPr>
      <w:r>
        <w:rPr>
          <w:rFonts w:hint="eastAsia" w:ascii="黑体" w:hAnsi="黑体" w:eastAsia="黑体" w:cs="黑体"/>
          <w:bCs/>
          <w:color w:val="000000"/>
          <w:sz w:val="32"/>
          <w:szCs w:val="32"/>
        </w:rPr>
        <w:t>3.预防与预警</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3.1 预警管理</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级交通运输主管部门应在日常工作中按照《交通运输综合应急预案》的相关要求开展预警预防工作，完善预警预防联动机制，重点做好预警信息的收集和处置工作，指导城市公共汽电车运营企业做好相应的应急准备。</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3.2 预警信息</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公共汽电车运营企业应当建立健全公共汽电车突发事件预防监测体系，落实预防及监测机构、人员和职责，明确信息监测方法与程序，完善信息来源分析、日常数据监测、常规安全隐患排查、风险分析与评估等制度，健全风险防控措施。城市公共汽电车运营企业应及时监测和分析相关信息，预估可能造成的影响范围和程度，及时将有关情况报告所在地交通运输主管部门。</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级交通运输主管部门应加强对本行政区域内公共汽电车安全生产情况的日常监测，会同有关部门和单位建立健全定期会商和信息共享机制，对各类风险信息进行分析研判，对可能造成重大及以上等级突发事件的信息要及时报告同级人民政府和上级交通运输主管部门。</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黑体" w:hAnsi="黑体" w:eastAsia="黑体" w:cs="黑体"/>
          <w:bCs/>
          <w:color w:val="000000"/>
          <w:sz w:val="32"/>
          <w:szCs w:val="32"/>
        </w:rPr>
      </w:pPr>
      <w:r>
        <w:rPr>
          <w:rFonts w:hint="eastAsia" w:ascii="黑体" w:hAnsi="黑体" w:eastAsia="黑体" w:cs="黑体"/>
          <w:bCs/>
          <w:color w:val="000000"/>
          <w:sz w:val="32"/>
          <w:szCs w:val="32"/>
        </w:rPr>
        <w:t>4.应急响应</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4.1 信息报告与处理</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交通运输</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按有关规定向</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委值班室、</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政府值班室、</w:t>
      </w:r>
      <w:r>
        <w:rPr>
          <w:rFonts w:hint="eastAsia" w:ascii="仿宋_GB2312" w:hAnsi="仿宋_GB2312" w:eastAsia="仿宋_GB2312" w:cs="仿宋_GB2312"/>
          <w:color w:val="000000"/>
          <w:sz w:val="32"/>
          <w:szCs w:val="32"/>
          <w:lang w:eastAsia="zh-CN"/>
        </w:rPr>
        <w:t>省</w:t>
      </w:r>
      <w:r>
        <w:rPr>
          <w:rFonts w:hint="eastAsia" w:ascii="仿宋_GB2312" w:hAnsi="仿宋_GB2312" w:eastAsia="仿宋_GB2312" w:cs="仿宋_GB2312"/>
          <w:color w:val="000000"/>
          <w:sz w:val="32"/>
          <w:szCs w:val="32"/>
        </w:rPr>
        <w:t>交通运输</w:t>
      </w:r>
      <w:r>
        <w:rPr>
          <w:rFonts w:hint="eastAsia" w:ascii="仿宋_GB2312" w:hAnsi="仿宋_GB2312" w:eastAsia="仿宋_GB2312" w:cs="仿宋_GB2312"/>
          <w:color w:val="000000"/>
          <w:sz w:val="32"/>
          <w:szCs w:val="32"/>
          <w:lang w:eastAsia="zh-CN"/>
        </w:rPr>
        <w:t>厅</w:t>
      </w:r>
      <w:r>
        <w:rPr>
          <w:rFonts w:hint="eastAsia" w:ascii="仿宋_GB2312" w:hAnsi="仿宋_GB2312" w:eastAsia="仿宋_GB2312" w:cs="仿宋_GB2312"/>
          <w:color w:val="000000"/>
          <w:sz w:val="32"/>
          <w:szCs w:val="32"/>
        </w:rPr>
        <w:t>应急办及时报送突发事件信息。</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交通运输</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和应急协作部门建立信息快速通报与联动响应机制，明确各相关部门的应急日常管理机构名称和联络方式，确定不同类别预警与应急信息的通报部门，建立信息快速沟通渠道，规定各类信息的通报与反馈时限，形成较为完善的突发事件信息快速沟通机制。</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Ⅰ、Ⅱ级城市公共汽电车突发事件应急响应启动后，事发地</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级交通运输主管部门应当将应急处置工作进展情况及时报</w:t>
      </w:r>
      <w:r>
        <w:rPr>
          <w:rFonts w:hint="eastAsia" w:ascii="仿宋_GB2312" w:hAnsi="仿宋_GB2312" w:eastAsia="仿宋_GB2312" w:cs="仿宋_GB2312"/>
          <w:snapToGrid w:val="0"/>
          <w:sz w:val="32"/>
          <w:szCs w:val="32"/>
          <w:lang w:eastAsia="zh-CN"/>
        </w:rPr>
        <w:t>市综合交通运行指挥中心</w:t>
      </w:r>
      <w:r>
        <w:rPr>
          <w:rFonts w:hint="eastAsia" w:ascii="仿宋_GB2312" w:hAnsi="仿宋_GB2312" w:eastAsia="仿宋_GB2312" w:cs="仿宋_GB2312"/>
          <w:color w:val="000000"/>
          <w:sz w:val="32"/>
          <w:szCs w:val="32"/>
        </w:rPr>
        <w:t>，并按照“零报告”制度，形成定时情况快报，直到应急响应终止。综合协调组应及时将进展信息汇总形成每日情况简报，上报领导小组，并抄送</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应急办。信息报告内容包括：事件的类型、发生时间、地点、发生原因、影响范围和程度、发生态势、受损情况、已采取的应急处置措施和成效、联系人及联系方式等。</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突发事件已经或者可能涉及相邻行政区域的，事发地交通运输主管部门应当及时通报相邻区域交通运输主管部门。</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4.2分级响应</w:t>
      </w:r>
    </w:p>
    <w:p>
      <w:pPr>
        <w:keepNext w:val="0"/>
        <w:keepLines w:val="0"/>
        <w:pageBreakBefore w:val="0"/>
        <w:kinsoku/>
        <w:wordWrap w:val="0"/>
        <w:overflowPunct/>
        <w:topLinePunct/>
        <w:autoSpaceDE/>
        <w:autoSpaceDN/>
        <w:bidi w:val="0"/>
        <w:adjustRightInd w:val="0"/>
        <w:snapToGrid/>
        <w:spacing w:line="560" w:lineRule="exact"/>
        <w:ind w:firstLine="643" w:firstLineChars="200"/>
        <w:jc w:val="both"/>
        <w:textAlignment w:val="baseline"/>
        <w:rPr>
          <w:rFonts w:hint="eastAsia" w:ascii="仿宋_GB2312" w:hAnsi="仿宋_GB2312" w:eastAsia="仿宋_GB2312" w:cs="仿宋_GB2312"/>
          <w:b/>
          <w:bCs w:val="0"/>
          <w:color w:val="000000"/>
          <w:kern w:val="0"/>
          <w:sz w:val="32"/>
          <w:szCs w:val="32"/>
        </w:rPr>
      </w:pPr>
      <w:r>
        <w:rPr>
          <w:rFonts w:hint="eastAsia" w:ascii="仿宋_GB2312" w:hAnsi="仿宋_GB2312" w:eastAsia="仿宋_GB2312" w:cs="仿宋_GB2312"/>
          <w:b/>
          <w:bCs w:val="0"/>
          <w:color w:val="000000"/>
          <w:sz w:val="32"/>
          <w:szCs w:val="32"/>
        </w:rPr>
        <w:t>4.2.1</w:t>
      </w:r>
      <w:bookmarkStart w:id="21" w:name="OLE_LINK59"/>
      <w:bookmarkStart w:id="22" w:name="OLE_LINK61"/>
      <w:bookmarkStart w:id="23" w:name="OLE_LINK60"/>
      <w:r>
        <w:rPr>
          <w:rFonts w:hint="eastAsia" w:ascii="仿宋_GB2312" w:hAnsi="仿宋_GB2312" w:eastAsia="仿宋_GB2312" w:cs="仿宋_GB2312"/>
          <w:b/>
          <w:bCs w:val="0"/>
          <w:color w:val="000000"/>
          <w:sz w:val="32"/>
          <w:szCs w:val="32"/>
        </w:rPr>
        <w:t xml:space="preserve"> Ⅰ级城市公共汽电车突发事件</w:t>
      </w:r>
      <w:bookmarkEnd w:id="21"/>
      <w:bookmarkEnd w:id="22"/>
      <w:bookmarkEnd w:id="23"/>
      <w:r>
        <w:rPr>
          <w:rFonts w:hint="eastAsia" w:ascii="仿宋_GB2312" w:hAnsi="仿宋_GB2312" w:eastAsia="仿宋_GB2312" w:cs="仿宋_GB2312"/>
          <w:b/>
          <w:bCs w:val="0"/>
          <w:color w:val="000000"/>
          <w:sz w:val="32"/>
          <w:szCs w:val="32"/>
        </w:rPr>
        <w:t>应急响应</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交通运输</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根据</w:t>
      </w:r>
      <w:r>
        <w:rPr>
          <w:rFonts w:hint="eastAsia" w:ascii="仿宋_GB2312" w:hAnsi="仿宋_GB2312" w:eastAsia="仿宋_GB2312" w:cs="仿宋_GB2312"/>
          <w:color w:val="000000"/>
          <w:sz w:val="32"/>
          <w:szCs w:val="32"/>
          <w:lang w:eastAsia="zh-CN"/>
        </w:rPr>
        <w:t>省</w:t>
      </w:r>
      <w:r>
        <w:rPr>
          <w:rFonts w:hint="eastAsia" w:ascii="仿宋_GB2312" w:hAnsi="仿宋_GB2312" w:eastAsia="仿宋_GB2312" w:cs="仿宋_GB2312"/>
          <w:color w:val="000000"/>
          <w:sz w:val="32"/>
          <w:szCs w:val="32"/>
        </w:rPr>
        <w:t>交通运输</w:t>
      </w:r>
      <w:r>
        <w:rPr>
          <w:rFonts w:hint="eastAsia" w:ascii="仿宋_GB2312" w:hAnsi="仿宋_GB2312" w:eastAsia="仿宋_GB2312" w:cs="仿宋_GB2312"/>
          <w:color w:val="000000"/>
          <w:sz w:val="32"/>
          <w:szCs w:val="32"/>
          <w:lang w:eastAsia="zh-CN"/>
        </w:rPr>
        <w:t>厅</w:t>
      </w:r>
      <w:r>
        <w:rPr>
          <w:rFonts w:hint="eastAsia" w:ascii="仿宋_GB2312" w:hAnsi="仿宋_GB2312" w:eastAsia="仿宋_GB2312" w:cs="仿宋_GB2312"/>
          <w:color w:val="000000"/>
          <w:sz w:val="32"/>
          <w:szCs w:val="32"/>
        </w:rPr>
        <w:t>指令启动并实施Ⅰ级应急响应，在</w:t>
      </w:r>
      <w:r>
        <w:rPr>
          <w:rFonts w:hint="eastAsia" w:ascii="仿宋_GB2312" w:hAnsi="仿宋_GB2312" w:eastAsia="仿宋_GB2312" w:cs="仿宋_GB2312"/>
          <w:color w:val="000000"/>
          <w:sz w:val="32"/>
          <w:szCs w:val="32"/>
          <w:lang w:eastAsia="zh-CN"/>
        </w:rPr>
        <w:t>省</w:t>
      </w:r>
      <w:r>
        <w:rPr>
          <w:rFonts w:hint="eastAsia" w:ascii="仿宋_GB2312" w:hAnsi="仿宋_GB2312" w:eastAsia="仿宋_GB2312" w:cs="仿宋_GB2312"/>
          <w:color w:val="000000"/>
          <w:sz w:val="32"/>
          <w:szCs w:val="32"/>
        </w:rPr>
        <w:t>交通运输</w:t>
      </w:r>
      <w:r>
        <w:rPr>
          <w:rFonts w:hint="eastAsia" w:ascii="仿宋_GB2312" w:hAnsi="仿宋_GB2312" w:eastAsia="仿宋_GB2312" w:cs="仿宋_GB2312"/>
          <w:color w:val="000000"/>
          <w:sz w:val="32"/>
          <w:szCs w:val="32"/>
          <w:lang w:eastAsia="zh-CN"/>
        </w:rPr>
        <w:t>厅</w:t>
      </w:r>
      <w:r>
        <w:rPr>
          <w:rFonts w:hint="eastAsia" w:ascii="仿宋_GB2312" w:hAnsi="仿宋_GB2312" w:eastAsia="仿宋_GB2312" w:cs="仿宋_GB2312"/>
          <w:color w:val="000000"/>
          <w:sz w:val="32"/>
          <w:szCs w:val="32"/>
        </w:rPr>
        <w:t>指导和协调下启动并实施Ⅰ级应急响应应对工作。</w:t>
      </w:r>
    </w:p>
    <w:p>
      <w:pPr>
        <w:keepNext w:val="0"/>
        <w:keepLines w:val="0"/>
        <w:pageBreakBefore w:val="0"/>
        <w:kinsoku/>
        <w:wordWrap w:val="0"/>
        <w:overflowPunct/>
        <w:topLinePunct/>
        <w:autoSpaceDE/>
        <w:autoSpaceDN/>
        <w:bidi w:val="0"/>
        <w:snapToGrid/>
        <w:spacing w:line="560" w:lineRule="exact"/>
        <w:ind w:firstLine="643" w:firstLineChars="200"/>
        <w:jc w:val="both"/>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4.2.2 Ⅱ级城市公共汽电车突发事件应急响应</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交通运输</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启动并实施Ⅱ级应急响应，指导和协调事发地交通运输主管部门启动并实施本级部门应急响应。</w:t>
      </w:r>
    </w:p>
    <w:p>
      <w:pPr>
        <w:keepNext w:val="0"/>
        <w:keepLines w:val="0"/>
        <w:pageBreakBefore w:val="0"/>
        <w:kinsoku/>
        <w:wordWrap w:val="0"/>
        <w:overflowPunct/>
        <w:topLinePunct/>
        <w:autoSpaceDE/>
        <w:autoSpaceDN/>
        <w:bidi w:val="0"/>
        <w:snapToGrid/>
        <w:spacing w:line="560" w:lineRule="exact"/>
        <w:ind w:firstLine="643" w:firstLineChars="200"/>
        <w:jc w:val="both"/>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4.2.3 Ⅲ</w:t>
      </w:r>
      <w:bookmarkStart w:id="24" w:name="OLE_LINK51"/>
      <w:bookmarkStart w:id="25" w:name="OLE_LINK52"/>
      <w:bookmarkStart w:id="26" w:name="OLE_LINK50"/>
      <w:r>
        <w:rPr>
          <w:rFonts w:hint="eastAsia" w:ascii="仿宋_GB2312" w:hAnsi="仿宋_GB2312" w:eastAsia="仿宋_GB2312" w:cs="仿宋_GB2312"/>
          <w:b/>
          <w:bCs w:val="0"/>
          <w:color w:val="000000"/>
          <w:sz w:val="32"/>
          <w:szCs w:val="32"/>
        </w:rPr>
        <w:t>、Ⅳ</w:t>
      </w:r>
      <w:bookmarkEnd w:id="24"/>
      <w:bookmarkEnd w:id="25"/>
      <w:bookmarkEnd w:id="26"/>
      <w:r>
        <w:rPr>
          <w:rFonts w:hint="eastAsia" w:ascii="仿宋_GB2312" w:hAnsi="仿宋_GB2312" w:eastAsia="仿宋_GB2312" w:cs="仿宋_GB2312"/>
          <w:b/>
          <w:bCs w:val="0"/>
          <w:color w:val="000000"/>
          <w:sz w:val="32"/>
          <w:szCs w:val="32"/>
        </w:rPr>
        <w:t>级城市公共汽电车突发事件应急响应</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color w:val="000000"/>
          <w:sz w:val="32"/>
          <w:szCs w:val="32"/>
        </w:rPr>
        <w:t>发生Ⅲ、Ⅳ级城市公共汽电车突发事件时，由事发地交通运输主管部门启动并实施响应级别的市级部门应急响应。</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4.3响应程序</w:t>
      </w:r>
    </w:p>
    <w:p>
      <w:pPr>
        <w:keepNext w:val="0"/>
        <w:keepLines w:val="0"/>
        <w:pageBreakBefore w:val="0"/>
        <w:kinsoku/>
        <w:wordWrap w:val="0"/>
        <w:overflowPunct/>
        <w:topLinePunct/>
        <w:autoSpaceDE/>
        <w:autoSpaceDN/>
        <w:bidi w:val="0"/>
        <w:snapToGrid/>
        <w:spacing w:line="560" w:lineRule="exact"/>
        <w:ind w:firstLine="643" w:firstLineChars="200"/>
        <w:jc w:val="both"/>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 xml:space="preserve">4.3.1 </w:t>
      </w:r>
      <w:r>
        <w:rPr>
          <w:rFonts w:hint="eastAsia" w:ascii="仿宋_GB2312" w:hAnsi="仿宋_GB2312" w:eastAsia="仿宋_GB2312" w:cs="仿宋_GB2312"/>
          <w:b/>
          <w:bCs w:val="0"/>
          <w:color w:val="000000"/>
          <w:sz w:val="32"/>
          <w:szCs w:val="32"/>
          <w:lang w:eastAsia="zh-CN"/>
        </w:rPr>
        <w:t>市</w:t>
      </w:r>
      <w:r>
        <w:rPr>
          <w:rFonts w:hint="eastAsia" w:ascii="仿宋_GB2312" w:hAnsi="仿宋_GB2312" w:eastAsia="仿宋_GB2312" w:cs="仿宋_GB2312"/>
          <w:b/>
          <w:bCs w:val="0"/>
          <w:color w:val="000000"/>
          <w:sz w:val="32"/>
          <w:szCs w:val="32"/>
        </w:rPr>
        <w:t>级部门应急响应启动程序</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snapToGrid w:val="0"/>
          <w:sz w:val="32"/>
          <w:szCs w:val="32"/>
          <w:lang w:eastAsia="zh-CN"/>
        </w:rPr>
        <w:t>市综合交通运行指挥中心</w:t>
      </w:r>
      <w:r>
        <w:rPr>
          <w:rFonts w:hint="eastAsia" w:ascii="仿宋_GB2312" w:hAnsi="仿宋_GB2312" w:eastAsia="仿宋_GB2312" w:cs="仿宋_GB2312"/>
          <w:color w:val="000000"/>
          <w:sz w:val="32"/>
          <w:szCs w:val="32"/>
        </w:rPr>
        <w:t>接到城市公共汽电车突发事件信息或者接</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政府、</w:t>
      </w:r>
      <w:r>
        <w:rPr>
          <w:rFonts w:hint="eastAsia" w:ascii="仿宋_GB2312" w:hAnsi="仿宋_GB2312" w:eastAsia="仿宋_GB2312" w:cs="仿宋_GB2312"/>
          <w:color w:val="000000"/>
          <w:sz w:val="32"/>
          <w:szCs w:val="32"/>
          <w:lang w:eastAsia="zh-CN"/>
        </w:rPr>
        <w:t>省</w:t>
      </w:r>
      <w:r>
        <w:rPr>
          <w:rFonts w:hint="eastAsia" w:ascii="仿宋_GB2312" w:hAnsi="仿宋_GB2312" w:eastAsia="仿宋_GB2312" w:cs="仿宋_GB2312"/>
          <w:color w:val="000000"/>
          <w:sz w:val="32"/>
          <w:szCs w:val="32"/>
        </w:rPr>
        <w:t>交通运输</w:t>
      </w:r>
      <w:r>
        <w:rPr>
          <w:rFonts w:hint="eastAsia" w:ascii="仿宋_GB2312" w:hAnsi="仿宋_GB2312" w:eastAsia="仿宋_GB2312" w:cs="仿宋_GB2312"/>
          <w:color w:val="000000"/>
          <w:sz w:val="32"/>
          <w:szCs w:val="32"/>
          <w:lang w:eastAsia="zh-CN"/>
        </w:rPr>
        <w:t>厅</w:t>
      </w:r>
      <w:r>
        <w:rPr>
          <w:rFonts w:hint="eastAsia" w:ascii="仿宋_GB2312" w:hAnsi="仿宋_GB2312" w:eastAsia="仿宋_GB2312" w:cs="仿宋_GB2312"/>
          <w:color w:val="000000"/>
          <w:sz w:val="32"/>
          <w:szCs w:val="32"/>
        </w:rPr>
        <w:t>责成处理的城市公共汽电车突发事件，及时核实有关情况，并报</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运输</w:t>
      </w:r>
      <w:r>
        <w:rPr>
          <w:rFonts w:hint="eastAsia" w:ascii="仿宋_GB2312" w:hAnsi="仿宋_GB2312" w:eastAsia="仿宋_GB2312" w:cs="仿宋_GB2312"/>
          <w:color w:val="000000"/>
          <w:sz w:val="32"/>
          <w:szCs w:val="32"/>
          <w:lang w:eastAsia="zh-CN"/>
        </w:rPr>
        <w:t>科</w:t>
      </w:r>
      <w:r>
        <w:rPr>
          <w:rFonts w:hint="eastAsia" w:ascii="仿宋_GB2312" w:hAnsi="仿宋_GB2312" w:eastAsia="仿宋_GB2312" w:cs="仿宋_GB2312"/>
          <w:color w:val="000000"/>
          <w:sz w:val="32"/>
          <w:szCs w:val="32"/>
        </w:rPr>
        <w:t>提出处置意见。</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运输</w:t>
      </w:r>
      <w:r>
        <w:rPr>
          <w:rFonts w:hint="eastAsia" w:ascii="仿宋_GB2312" w:hAnsi="仿宋_GB2312" w:eastAsia="仿宋_GB2312" w:cs="仿宋_GB2312"/>
          <w:color w:val="000000"/>
          <w:sz w:val="32"/>
          <w:szCs w:val="32"/>
          <w:lang w:eastAsia="zh-CN"/>
        </w:rPr>
        <w:t>科</w:t>
      </w:r>
      <w:r>
        <w:rPr>
          <w:rFonts w:hint="eastAsia" w:ascii="仿宋_GB2312" w:hAnsi="仿宋_GB2312" w:eastAsia="仿宋_GB2312" w:cs="仿宋_GB2312"/>
          <w:color w:val="000000"/>
          <w:sz w:val="32"/>
          <w:szCs w:val="32"/>
        </w:rPr>
        <w:t>第一时间向</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分管领导报告有关情况。</w:t>
      </w:r>
    </w:p>
    <w:p>
      <w:pPr>
        <w:keepNext w:val="0"/>
        <w:keepLines w:val="0"/>
        <w:pageBreakBefore w:val="0"/>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（2）符合Ⅰ级应急响应条件的，</w:t>
      </w:r>
      <w:r>
        <w:rPr>
          <w:rFonts w:hint="eastAsia" w:ascii="仿宋_GB2312" w:hAnsi="仿宋_GB2312" w:eastAsia="仿宋_GB2312" w:cs="仿宋_GB2312"/>
          <w:color w:val="000000"/>
          <w:kern w:val="0"/>
          <w:sz w:val="32"/>
          <w:szCs w:val="32"/>
        </w:rPr>
        <w:t>立即报告</w:t>
      </w: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交通运输</w:t>
      </w:r>
      <w:r>
        <w:rPr>
          <w:rFonts w:hint="eastAsia" w:ascii="仿宋_GB2312" w:hAnsi="仿宋_GB2312" w:eastAsia="仿宋_GB2312" w:cs="仿宋_GB2312"/>
          <w:color w:val="000000"/>
          <w:kern w:val="0"/>
          <w:sz w:val="32"/>
          <w:szCs w:val="32"/>
          <w:lang w:eastAsia="zh-CN"/>
        </w:rPr>
        <w:t>厅</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交通运输</w:t>
      </w:r>
      <w:r>
        <w:rPr>
          <w:rFonts w:hint="eastAsia" w:ascii="仿宋_GB2312" w:hAnsi="仿宋_GB2312" w:eastAsia="仿宋_GB2312" w:cs="仿宋_GB2312"/>
          <w:color w:val="000000"/>
          <w:kern w:val="0"/>
          <w:sz w:val="32"/>
          <w:szCs w:val="32"/>
          <w:lang w:val="en-US" w:eastAsia="zh-CN"/>
        </w:rPr>
        <w:t>厅</w:t>
      </w:r>
      <w:r>
        <w:rPr>
          <w:rFonts w:hint="eastAsia" w:ascii="仿宋_GB2312" w:hAnsi="仿宋_GB2312" w:eastAsia="仿宋_GB2312" w:cs="仿宋_GB2312"/>
          <w:color w:val="000000"/>
          <w:kern w:val="0"/>
          <w:sz w:val="32"/>
          <w:szCs w:val="32"/>
        </w:rPr>
        <w:t>启动Ⅰ级应急响应后，</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交通运输</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启动实施</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本级部门Ⅰ级应急响应</w:t>
      </w:r>
      <w:r>
        <w:rPr>
          <w:rFonts w:hint="eastAsia" w:ascii="仿宋_GB2312" w:hAnsi="仿宋_GB2312" w:eastAsia="仿宋_GB2312" w:cs="仿宋_GB2312"/>
          <w:color w:val="000000"/>
          <w:kern w:val="0"/>
          <w:sz w:val="32"/>
          <w:szCs w:val="32"/>
        </w:rPr>
        <w:t>。</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（3）符合Ⅱ级应急响应条件的，</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运输</w:t>
      </w:r>
      <w:r>
        <w:rPr>
          <w:rFonts w:hint="eastAsia" w:ascii="仿宋_GB2312" w:hAnsi="仿宋_GB2312" w:eastAsia="仿宋_GB2312" w:cs="仿宋_GB2312"/>
          <w:color w:val="000000"/>
          <w:sz w:val="32"/>
          <w:szCs w:val="32"/>
          <w:lang w:eastAsia="zh-CN"/>
        </w:rPr>
        <w:t>科</w:t>
      </w:r>
      <w:r>
        <w:rPr>
          <w:rFonts w:hint="eastAsia" w:ascii="仿宋_GB2312" w:hAnsi="仿宋_GB2312" w:eastAsia="仿宋_GB2312" w:cs="仿宋_GB2312"/>
          <w:color w:val="000000"/>
          <w:sz w:val="32"/>
          <w:szCs w:val="32"/>
        </w:rPr>
        <w:t>提出启动Ⅱ级应急响应及成立相关应急工作组的建议。经分管</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领导同意后，报请</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长核准。由</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长或</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长授权的分管</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领导宣布</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交通运输</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应对XX事件Ⅱ级响应。</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（4）同步成立领导小组，领导小组组长明确应急工作组构成；各应急工作组按照职责开展应急工作，并将启动Ⅰ、Ⅱ级响应有关信息按规定报送</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委值班室、</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政府值班室、</w:t>
      </w:r>
      <w:r>
        <w:rPr>
          <w:rFonts w:hint="eastAsia" w:ascii="仿宋_GB2312" w:hAnsi="仿宋_GB2312" w:eastAsia="仿宋_GB2312" w:cs="仿宋_GB2312"/>
          <w:color w:val="000000"/>
          <w:sz w:val="32"/>
          <w:szCs w:val="32"/>
          <w:lang w:eastAsia="zh-CN"/>
        </w:rPr>
        <w:t>省</w:t>
      </w:r>
      <w:r>
        <w:rPr>
          <w:rFonts w:hint="eastAsia" w:ascii="仿宋_GB2312" w:hAnsi="仿宋_GB2312" w:eastAsia="仿宋_GB2312" w:cs="仿宋_GB2312"/>
          <w:color w:val="000000"/>
          <w:sz w:val="32"/>
          <w:szCs w:val="32"/>
        </w:rPr>
        <w:t>交通运输</w:t>
      </w:r>
      <w:r>
        <w:rPr>
          <w:rFonts w:hint="eastAsia" w:ascii="仿宋_GB2312" w:hAnsi="仿宋_GB2312" w:eastAsia="仿宋_GB2312" w:cs="仿宋_GB2312"/>
          <w:color w:val="000000"/>
          <w:sz w:val="32"/>
          <w:szCs w:val="32"/>
          <w:lang w:eastAsia="zh-CN"/>
        </w:rPr>
        <w:t>厅</w:t>
      </w:r>
      <w:r>
        <w:rPr>
          <w:rFonts w:hint="eastAsia" w:ascii="仿宋_GB2312" w:hAnsi="仿宋_GB2312" w:eastAsia="仿宋_GB2312" w:cs="仿宋_GB2312"/>
          <w:color w:val="000000"/>
          <w:sz w:val="32"/>
          <w:szCs w:val="32"/>
        </w:rPr>
        <w:t>应急办等有关部门，抄送应急协作部门，通知相关设区市应急管理机构，并电话确认接收。</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（5）开展应急响应信息专项报送工作，随时掌握并报告工作进展情况，建立突发事件动态定时快报制度，将应急工作联系人联系方式报送省</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委值班室、</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政府值班室、</w:t>
      </w:r>
      <w:r>
        <w:rPr>
          <w:rFonts w:hint="eastAsia" w:ascii="仿宋_GB2312" w:hAnsi="仿宋_GB2312" w:eastAsia="仿宋_GB2312" w:cs="仿宋_GB2312"/>
          <w:color w:val="000000"/>
          <w:sz w:val="32"/>
          <w:szCs w:val="32"/>
          <w:lang w:eastAsia="zh-CN"/>
        </w:rPr>
        <w:t>省</w:t>
      </w:r>
      <w:r>
        <w:rPr>
          <w:rFonts w:hint="eastAsia" w:ascii="仿宋_GB2312" w:hAnsi="仿宋_GB2312" w:eastAsia="仿宋_GB2312" w:cs="仿宋_GB2312"/>
          <w:color w:val="000000"/>
          <w:sz w:val="32"/>
          <w:szCs w:val="32"/>
        </w:rPr>
        <w:t>交通运输</w:t>
      </w:r>
      <w:r>
        <w:rPr>
          <w:rFonts w:hint="eastAsia" w:ascii="仿宋_GB2312" w:hAnsi="仿宋_GB2312" w:eastAsia="仿宋_GB2312" w:cs="仿宋_GB2312"/>
          <w:color w:val="000000"/>
          <w:sz w:val="32"/>
          <w:szCs w:val="32"/>
          <w:lang w:eastAsia="zh-CN"/>
        </w:rPr>
        <w:t>厅</w:t>
      </w:r>
      <w:r>
        <w:rPr>
          <w:rFonts w:hint="eastAsia" w:ascii="仿宋_GB2312" w:hAnsi="仿宋_GB2312" w:eastAsia="仿宋_GB2312" w:cs="仿宋_GB2312"/>
          <w:color w:val="000000"/>
          <w:sz w:val="32"/>
          <w:szCs w:val="32"/>
        </w:rPr>
        <w:t>应急办。</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（6）如发现事态扩大，超过本级响应标准或处置能力时，应及时向</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政府及</w:t>
      </w:r>
      <w:r>
        <w:rPr>
          <w:rFonts w:hint="eastAsia" w:ascii="仿宋_GB2312" w:hAnsi="仿宋_GB2312" w:eastAsia="仿宋_GB2312" w:cs="仿宋_GB2312"/>
          <w:color w:val="000000"/>
          <w:sz w:val="32"/>
          <w:szCs w:val="32"/>
          <w:lang w:eastAsia="zh-CN"/>
        </w:rPr>
        <w:t>省</w:t>
      </w:r>
      <w:r>
        <w:rPr>
          <w:rFonts w:hint="eastAsia" w:ascii="仿宋_GB2312" w:hAnsi="仿宋_GB2312" w:eastAsia="仿宋_GB2312" w:cs="仿宋_GB2312"/>
          <w:color w:val="000000"/>
          <w:sz w:val="32"/>
          <w:szCs w:val="32"/>
        </w:rPr>
        <w:t>交通运输</w:t>
      </w:r>
      <w:r>
        <w:rPr>
          <w:rFonts w:hint="eastAsia" w:ascii="仿宋_GB2312" w:hAnsi="仿宋_GB2312" w:eastAsia="仿宋_GB2312" w:cs="仿宋_GB2312"/>
          <w:color w:val="000000"/>
          <w:sz w:val="32"/>
          <w:szCs w:val="32"/>
          <w:lang w:eastAsia="zh-CN"/>
        </w:rPr>
        <w:t>厅</w:t>
      </w:r>
      <w:r>
        <w:rPr>
          <w:rFonts w:hint="eastAsia" w:ascii="仿宋_GB2312" w:hAnsi="仿宋_GB2312" w:eastAsia="仿宋_GB2312" w:cs="仿宋_GB2312"/>
          <w:color w:val="000000"/>
          <w:sz w:val="32"/>
          <w:szCs w:val="32"/>
        </w:rPr>
        <w:t>报告，建议提高响应等级。</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（7）根据情况需要，由新闻宣传组向社会公众或新闻媒体发布有关应急信息，并对有关舆情进行应对处置。</w:t>
      </w:r>
    </w:p>
    <w:p>
      <w:pPr>
        <w:keepNext w:val="0"/>
        <w:keepLines w:val="0"/>
        <w:pageBreakBefore w:val="0"/>
        <w:kinsoku/>
        <w:wordWrap w:val="0"/>
        <w:overflowPunct/>
        <w:topLinePunct/>
        <w:autoSpaceDE/>
        <w:autoSpaceDN/>
        <w:bidi w:val="0"/>
        <w:snapToGrid/>
        <w:spacing w:line="560" w:lineRule="exact"/>
        <w:ind w:firstLine="643" w:firstLineChars="200"/>
        <w:jc w:val="both"/>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4.3.2 县级部门应急响应启动程序</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级交通运输主管部门可以参照本预案，根据本地区实际情况，制定本级部门应急响应级别及程序。</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级交通运输主管部门在启动实施本级应急响应的同时，应将应急响应情况报送本级城市人民政府和</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级交通运输主管部门。</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级交通运输主管部门在处理超出本级范围的突发事件，需要本级城市人民政府和上一级交通运输主管部门协调处置时，应及时提出请求，并按照前款规定及时启动上一级别应急响应。</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城市公共汽电车突发事件分级响应流程详见本预案附件。</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4.4响应措施</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现场工作组在现场指导当地交通运输主管部门开展应急处置、原因调查、运营恢复等工作，并根据需要协调有关方面提供队伍、物资、技术等支持。具体措施如下</w:t>
      </w:r>
      <w:r>
        <w:rPr>
          <w:rFonts w:hint="eastAsia" w:ascii="仿宋_GB2312" w:hAnsi="仿宋_GB2312" w:eastAsia="仿宋_GB2312" w:cs="仿宋_GB2312"/>
          <w:color w:val="000000"/>
          <w:sz w:val="32"/>
          <w:szCs w:val="32"/>
          <w:lang w:eastAsia="zh-CN"/>
        </w:rPr>
        <w:t>：</w:t>
      </w:r>
    </w:p>
    <w:p>
      <w:pPr>
        <w:keepNext w:val="0"/>
        <w:keepLines w:val="0"/>
        <w:pageBreakBefore w:val="0"/>
        <w:kinsoku/>
        <w:wordWrap w:val="0"/>
        <w:overflowPunct/>
        <w:topLinePunct/>
        <w:autoSpaceDE/>
        <w:autoSpaceDN/>
        <w:bidi w:val="0"/>
        <w:adjustRightInd w:val="0"/>
        <w:snapToGrid/>
        <w:spacing w:line="560" w:lineRule="exact"/>
        <w:ind w:firstLine="643" w:firstLineChars="200"/>
        <w:jc w:val="both"/>
        <w:textAlignment w:val="baseline"/>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（1）指导现场疏散工作。</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按照预先制定的紧急疏导疏散方案，指导相关部门有组织、有秩序地迅速引导现场人员撤离事发地点，疏散受影响的城市公共汽电车乘客；对有关线路实施分区封控、警戒，阻止乘客及无关人员进入。</w:t>
      </w:r>
    </w:p>
    <w:p>
      <w:pPr>
        <w:keepNext w:val="0"/>
        <w:keepLines w:val="0"/>
        <w:pageBreakBefore w:val="0"/>
        <w:kinsoku/>
        <w:wordWrap w:val="0"/>
        <w:overflowPunct/>
        <w:topLinePunct/>
        <w:autoSpaceDE/>
        <w:autoSpaceDN/>
        <w:bidi w:val="0"/>
        <w:adjustRightInd w:val="0"/>
        <w:snapToGrid/>
        <w:spacing w:line="560" w:lineRule="exact"/>
        <w:ind w:firstLine="643" w:firstLineChars="200"/>
        <w:jc w:val="both"/>
        <w:textAlignment w:val="baseline"/>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（2）指导乘客转运工作。</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根据疏散乘客数量和发生突发事件的城市公共交通线路运行方向，指导地方交通运输主管部门及时通知城市公共汽电车客运企业调整受影响区域的公交线路，积极调配车辆，做好乘客的转运工作。</w:t>
      </w:r>
    </w:p>
    <w:p>
      <w:pPr>
        <w:keepNext w:val="0"/>
        <w:keepLines w:val="0"/>
        <w:pageBreakBefore w:val="0"/>
        <w:kinsoku/>
        <w:wordWrap w:val="0"/>
        <w:overflowPunct/>
        <w:topLinePunct/>
        <w:autoSpaceDE/>
        <w:autoSpaceDN/>
        <w:bidi w:val="0"/>
        <w:adjustRightInd w:val="0"/>
        <w:snapToGrid/>
        <w:spacing w:line="560" w:lineRule="exact"/>
        <w:ind w:firstLine="643" w:firstLineChars="200"/>
        <w:jc w:val="both"/>
        <w:textAlignment w:val="baseline"/>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（3）指导做好人员搜救工作。</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指导当地交通运输主管部门协助相关部门调派专业力量和装备，在突发事件现场开展以抢救人员生命为主的应急救援工作，指导交通系统救援队伍加强衔接配合，并做好自身安全防护。</w:t>
      </w:r>
    </w:p>
    <w:p>
      <w:pPr>
        <w:keepNext w:val="0"/>
        <w:keepLines w:val="0"/>
        <w:pageBreakBefore w:val="0"/>
        <w:kinsoku/>
        <w:wordWrap w:val="0"/>
        <w:overflowPunct/>
        <w:topLinePunct/>
        <w:autoSpaceDE/>
        <w:autoSpaceDN/>
        <w:bidi w:val="0"/>
        <w:adjustRightInd w:val="0"/>
        <w:snapToGrid/>
        <w:spacing w:line="560" w:lineRule="exact"/>
        <w:ind w:firstLine="643" w:firstLineChars="200"/>
        <w:jc w:val="both"/>
        <w:textAlignment w:val="baseline"/>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（4）指导交通疏导、医学救援、抢修抢险、维护社会稳定等工作。</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指导当地交通运输主管部门协助相关部门对事发地点周边交通秩序维护疏导、对伤病员进行诊断治疗及转运、对设施设备开展工程抢险救援、对事发现场及周边环境进行保护和警戒，以及维护治安秩序等工作。</w:t>
      </w:r>
    </w:p>
    <w:p>
      <w:pPr>
        <w:keepNext w:val="0"/>
        <w:keepLines w:val="0"/>
        <w:pageBreakBefore w:val="0"/>
        <w:kinsoku/>
        <w:wordWrap w:val="0"/>
        <w:overflowPunct/>
        <w:topLinePunct/>
        <w:autoSpaceDE/>
        <w:autoSpaceDN/>
        <w:bidi w:val="0"/>
        <w:adjustRightInd w:val="0"/>
        <w:snapToGrid/>
        <w:spacing w:line="560" w:lineRule="exact"/>
        <w:ind w:firstLine="643" w:firstLineChars="200"/>
        <w:jc w:val="both"/>
        <w:textAlignment w:val="baseline"/>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（5）指导做好信息发布和舆论引导工作。</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指导突发事件的宣传报道、事件处置情况的新闻发布、舆情收集和舆论引导工作，借助多种途径，运用新媒体平台，主动、及时、准确、客观地向社会持续动态发布突发事件和应对工作信息，回应社会关切，澄清不实信息，正确引导社会舆论。</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4.5响应终止</w:t>
      </w:r>
    </w:p>
    <w:p>
      <w:pPr>
        <w:keepNext w:val="0"/>
        <w:keepLines w:val="0"/>
        <w:pageBreakBefore w:val="0"/>
        <w:kinsoku/>
        <w:wordWrap w:val="0"/>
        <w:overflowPunct/>
        <w:topLinePunct/>
        <w:autoSpaceDE/>
        <w:autoSpaceDN/>
        <w:bidi w:val="0"/>
        <w:snapToGrid/>
        <w:spacing w:line="560" w:lineRule="exact"/>
        <w:ind w:firstLine="643" w:firstLineChars="200"/>
        <w:jc w:val="both"/>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4.5.1 Ⅰ级响应终止</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实施</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本级部门的Ⅰ级城市公共汽电车突发事件应急响应的终止由</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交通运输</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采取如下终止程序：</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（1）城市公共汽电车突发事件得到控制或消除，恢复正常运行，</w:t>
      </w:r>
      <w:r>
        <w:rPr>
          <w:rFonts w:hint="eastAsia" w:ascii="仿宋_GB2312" w:hAnsi="仿宋_GB2312" w:eastAsia="仿宋_GB2312" w:cs="仿宋_GB2312"/>
          <w:color w:val="000000"/>
          <w:sz w:val="32"/>
          <w:szCs w:val="32"/>
          <w:lang w:eastAsia="zh-CN"/>
        </w:rPr>
        <w:t>省</w:t>
      </w:r>
      <w:r>
        <w:rPr>
          <w:rFonts w:hint="eastAsia" w:ascii="仿宋_GB2312" w:hAnsi="仿宋_GB2312" w:eastAsia="仿宋_GB2312" w:cs="仿宋_GB2312"/>
          <w:color w:val="000000"/>
          <w:sz w:val="32"/>
          <w:szCs w:val="32"/>
        </w:rPr>
        <w:t>交通运输</w:t>
      </w:r>
      <w:r>
        <w:rPr>
          <w:rFonts w:hint="eastAsia" w:ascii="仿宋_GB2312" w:hAnsi="仿宋_GB2312" w:eastAsia="仿宋_GB2312" w:cs="仿宋_GB2312"/>
          <w:color w:val="000000"/>
          <w:sz w:val="32"/>
          <w:szCs w:val="32"/>
          <w:lang w:eastAsia="zh-CN"/>
        </w:rPr>
        <w:t>厅</w:t>
      </w:r>
      <w:r>
        <w:rPr>
          <w:rFonts w:hint="eastAsia" w:ascii="仿宋_GB2312" w:hAnsi="仿宋_GB2312" w:eastAsia="仿宋_GB2312" w:cs="仿宋_GB2312"/>
          <w:color w:val="000000"/>
          <w:sz w:val="32"/>
          <w:szCs w:val="32"/>
        </w:rPr>
        <w:t>终止Ⅰ级应急响应后，</w:t>
      </w:r>
      <w:r>
        <w:rPr>
          <w:rFonts w:hint="eastAsia" w:ascii="仿宋_GB2312" w:hAnsi="仿宋_GB2312" w:eastAsia="仿宋_GB2312" w:cs="仿宋_GB2312"/>
          <w:color w:val="000000"/>
          <w:kern w:val="0"/>
          <w:sz w:val="32"/>
          <w:szCs w:val="32"/>
        </w:rPr>
        <w:t>由</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运输</w:t>
      </w:r>
      <w:r>
        <w:rPr>
          <w:rFonts w:hint="eastAsia" w:ascii="仿宋_GB2312" w:hAnsi="仿宋_GB2312" w:eastAsia="仿宋_GB2312" w:cs="仿宋_GB2312"/>
          <w:color w:val="000000"/>
          <w:kern w:val="0"/>
          <w:sz w:val="32"/>
          <w:szCs w:val="32"/>
          <w:lang w:eastAsia="zh-CN"/>
        </w:rPr>
        <w:t>科</w:t>
      </w:r>
      <w:r>
        <w:rPr>
          <w:rFonts w:hint="eastAsia" w:ascii="仿宋_GB2312" w:hAnsi="仿宋_GB2312" w:eastAsia="仿宋_GB2312" w:cs="仿宋_GB2312"/>
          <w:color w:val="000000"/>
          <w:sz w:val="32"/>
          <w:szCs w:val="32"/>
        </w:rPr>
        <w:t>向领导小组提出实施</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本级部门Ⅰ级应急响应状态终止或降低响应等级建议；</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（2）领导小组组长签发实施</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本级部门Ⅰ级应急响应终止文件，提出应急响应终止</w:t>
      </w:r>
      <w:r>
        <w:rPr>
          <w:rFonts w:hint="eastAsia" w:ascii="仿宋_GB2312" w:hAnsi="仿宋_GB2312" w:eastAsia="仿宋_GB2312" w:cs="仿宋_GB2312"/>
          <w:color w:val="000000"/>
          <w:kern w:val="0"/>
          <w:sz w:val="32"/>
          <w:szCs w:val="32"/>
        </w:rPr>
        <w:t>或降低响应等级</w:t>
      </w:r>
      <w:r>
        <w:rPr>
          <w:rFonts w:hint="eastAsia" w:ascii="仿宋_GB2312" w:hAnsi="仿宋_GB2312" w:eastAsia="仿宋_GB2312" w:cs="仿宋_GB2312"/>
          <w:color w:val="000000"/>
          <w:sz w:val="32"/>
          <w:szCs w:val="32"/>
        </w:rPr>
        <w:t>后续处理意见。</w:t>
      </w:r>
      <w:r>
        <w:rPr>
          <w:rFonts w:hint="eastAsia" w:ascii="仿宋_GB2312" w:hAnsi="仿宋_GB2312" w:eastAsia="仿宋_GB2312" w:cs="仿宋_GB2312"/>
          <w:snapToGrid w:val="0"/>
          <w:sz w:val="32"/>
          <w:szCs w:val="32"/>
          <w:lang w:eastAsia="zh-CN"/>
        </w:rPr>
        <w:t>市综合交通运行指挥中心</w:t>
      </w:r>
      <w:r>
        <w:rPr>
          <w:rFonts w:hint="eastAsia" w:ascii="仿宋_GB2312" w:hAnsi="仿宋_GB2312" w:eastAsia="仿宋_GB2312" w:cs="仿宋_GB2312"/>
          <w:color w:val="000000"/>
          <w:sz w:val="32"/>
          <w:szCs w:val="32"/>
        </w:rPr>
        <w:t>迅速向</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人民政府、</w:t>
      </w:r>
      <w:r>
        <w:rPr>
          <w:rFonts w:hint="eastAsia" w:ascii="仿宋_GB2312" w:hAnsi="仿宋_GB2312" w:eastAsia="仿宋_GB2312" w:cs="仿宋_GB2312"/>
          <w:color w:val="000000"/>
          <w:sz w:val="32"/>
          <w:szCs w:val="32"/>
          <w:lang w:eastAsia="zh-CN"/>
        </w:rPr>
        <w:t>省</w:t>
      </w:r>
      <w:r>
        <w:rPr>
          <w:rFonts w:hint="eastAsia" w:ascii="仿宋_GB2312" w:hAnsi="仿宋_GB2312" w:eastAsia="仿宋_GB2312" w:cs="仿宋_GB2312"/>
          <w:color w:val="000000"/>
          <w:sz w:val="32"/>
          <w:szCs w:val="32"/>
        </w:rPr>
        <w:t>交通运输</w:t>
      </w:r>
      <w:r>
        <w:rPr>
          <w:rFonts w:hint="eastAsia" w:ascii="仿宋_GB2312" w:hAnsi="仿宋_GB2312" w:eastAsia="仿宋_GB2312" w:cs="仿宋_GB2312"/>
          <w:color w:val="000000"/>
          <w:sz w:val="32"/>
          <w:szCs w:val="32"/>
          <w:lang w:eastAsia="zh-CN"/>
        </w:rPr>
        <w:t>厅</w:t>
      </w:r>
      <w:r>
        <w:rPr>
          <w:rFonts w:hint="eastAsia" w:ascii="仿宋_GB2312" w:hAnsi="仿宋_GB2312" w:eastAsia="仿宋_GB2312" w:cs="仿宋_GB2312"/>
          <w:color w:val="000000"/>
          <w:sz w:val="32"/>
          <w:szCs w:val="32"/>
        </w:rPr>
        <w:t>报告。</w:t>
      </w:r>
    </w:p>
    <w:p>
      <w:pPr>
        <w:keepNext w:val="0"/>
        <w:keepLines w:val="0"/>
        <w:pageBreakBefore w:val="0"/>
        <w:kinsoku/>
        <w:wordWrap w:val="0"/>
        <w:overflowPunct/>
        <w:topLinePunct/>
        <w:autoSpaceDE/>
        <w:autoSpaceDN/>
        <w:bidi w:val="0"/>
        <w:snapToGrid/>
        <w:spacing w:line="560" w:lineRule="exact"/>
        <w:ind w:firstLine="643" w:firstLineChars="200"/>
        <w:jc w:val="both"/>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4.5.2 Ⅱ级响应终止</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Ⅱ级城市公共汽电车突发事件的应急响应的终止由</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交通运输</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采取如下终止程序：</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运输</w:t>
      </w:r>
      <w:r>
        <w:rPr>
          <w:rFonts w:hint="eastAsia" w:ascii="仿宋_GB2312" w:hAnsi="仿宋_GB2312" w:eastAsia="仿宋_GB2312" w:cs="仿宋_GB2312"/>
          <w:color w:val="000000"/>
          <w:sz w:val="32"/>
          <w:szCs w:val="32"/>
          <w:lang w:eastAsia="zh-CN"/>
        </w:rPr>
        <w:t>科</w:t>
      </w:r>
      <w:r>
        <w:rPr>
          <w:rFonts w:hint="eastAsia" w:ascii="仿宋_GB2312" w:hAnsi="仿宋_GB2312" w:eastAsia="仿宋_GB2312" w:cs="仿宋_GB2312"/>
          <w:color w:val="000000"/>
          <w:sz w:val="32"/>
          <w:szCs w:val="32"/>
        </w:rPr>
        <w:t>根据掌握的事件信息，确认城市公共汽电车突发事件得到控制或消除，恢复正常运行，向领导小组提出Ⅱ级应急响应状态终止或降低响应等级建议；</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（2）领导小组决定是否终止Ⅱ级应急响应状态或降低响应等级，如同意终止，签发Ⅱ级应急响应终止文件，提出应急响应终止或降低响应等级后续处理意见，</w:t>
      </w:r>
      <w:r>
        <w:rPr>
          <w:rFonts w:hint="eastAsia" w:ascii="仿宋_GB2312" w:hAnsi="仿宋_GB2312" w:eastAsia="仿宋_GB2312" w:cs="仿宋_GB2312"/>
          <w:snapToGrid w:val="0"/>
          <w:sz w:val="32"/>
          <w:szCs w:val="32"/>
          <w:lang w:eastAsia="zh-CN"/>
        </w:rPr>
        <w:t>市综合交通运行指挥中心</w:t>
      </w:r>
      <w:r>
        <w:rPr>
          <w:rFonts w:hint="eastAsia" w:ascii="仿宋_GB2312" w:hAnsi="仿宋_GB2312" w:eastAsia="仿宋_GB2312" w:cs="仿宋_GB2312"/>
          <w:color w:val="000000"/>
          <w:sz w:val="32"/>
          <w:szCs w:val="32"/>
        </w:rPr>
        <w:t>在12小时内向</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人民政府、</w:t>
      </w:r>
      <w:r>
        <w:rPr>
          <w:rFonts w:hint="eastAsia" w:ascii="仿宋_GB2312" w:hAnsi="仿宋_GB2312" w:eastAsia="仿宋_GB2312" w:cs="仿宋_GB2312"/>
          <w:color w:val="000000"/>
          <w:sz w:val="32"/>
          <w:szCs w:val="32"/>
          <w:lang w:eastAsia="zh-CN"/>
        </w:rPr>
        <w:t>省</w:t>
      </w:r>
      <w:r>
        <w:rPr>
          <w:rFonts w:hint="eastAsia" w:ascii="仿宋_GB2312" w:hAnsi="仿宋_GB2312" w:eastAsia="仿宋_GB2312" w:cs="仿宋_GB2312"/>
          <w:color w:val="000000"/>
          <w:sz w:val="32"/>
          <w:szCs w:val="32"/>
        </w:rPr>
        <w:t>交通运输</w:t>
      </w:r>
      <w:r>
        <w:rPr>
          <w:rFonts w:hint="eastAsia" w:ascii="仿宋_GB2312" w:hAnsi="仿宋_GB2312" w:eastAsia="仿宋_GB2312" w:cs="仿宋_GB2312"/>
          <w:color w:val="000000"/>
          <w:sz w:val="32"/>
          <w:szCs w:val="32"/>
          <w:lang w:eastAsia="zh-CN"/>
        </w:rPr>
        <w:t>厅</w:t>
      </w:r>
      <w:r>
        <w:rPr>
          <w:rFonts w:hint="eastAsia" w:ascii="仿宋_GB2312" w:hAnsi="仿宋_GB2312" w:eastAsia="仿宋_GB2312" w:cs="仿宋_GB2312"/>
          <w:color w:val="000000"/>
          <w:sz w:val="32"/>
          <w:szCs w:val="32"/>
        </w:rPr>
        <w:t>报送。</w:t>
      </w:r>
    </w:p>
    <w:p>
      <w:pPr>
        <w:keepNext w:val="0"/>
        <w:keepLines w:val="0"/>
        <w:pageBreakBefore w:val="0"/>
        <w:kinsoku/>
        <w:wordWrap w:val="0"/>
        <w:overflowPunct/>
        <w:topLinePunct/>
        <w:autoSpaceDE/>
        <w:autoSpaceDN/>
        <w:bidi w:val="0"/>
        <w:snapToGrid/>
        <w:spacing w:line="560" w:lineRule="exact"/>
        <w:ind w:firstLine="643" w:firstLineChars="200"/>
        <w:jc w:val="both"/>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 xml:space="preserve">4.5.3 </w:t>
      </w:r>
      <w:r>
        <w:rPr>
          <w:rFonts w:hint="eastAsia" w:ascii="仿宋_GB2312" w:hAnsi="仿宋_GB2312" w:eastAsia="仿宋_GB2312" w:cs="仿宋_GB2312"/>
          <w:b/>
          <w:bCs w:val="0"/>
          <w:color w:val="000000"/>
          <w:sz w:val="32"/>
          <w:szCs w:val="32"/>
          <w:lang w:eastAsia="zh-CN"/>
        </w:rPr>
        <w:t>县</w:t>
      </w:r>
      <w:r>
        <w:rPr>
          <w:rFonts w:hint="eastAsia" w:ascii="仿宋_GB2312" w:hAnsi="仿宋_GB2312" w:eastAsia="仿宋_GB2312" w:cs="仿宋_GB2312"/>
          <w:b/>
          <w:bCs w:val="0"/>
          <w:color w:val="000000"/>
          <w:sz w:val="32"/>
          <w:szCs w:val="32"/>
        </w:rPr>
        <w:t>级部门应急响应终止程序</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级交通运输主管部门可以根据本级应急预案规定流程或根据上级发出宣布突发事件应急响应终止或降级的指令，经本级应急领导小组会商，组长核准后，终止相应级别的应急响应，同时取消响应期间成立的领导小组及下设各应急工作组。</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4.6后期处置</w:t>
      </w:r>
    </w:p>
    <w:p>
      <w:pPr>
        <w:keepNext w:val="0"/>
        <w:keepLines w:val="0"/>
        <w:pageBreakBefore w:val="0"/>
        <w:kinsoku/>
        <w:wordWrap w:val="0"/>
        <w:overflowPunct/>
        <w:topLinePunct/>
        <w:autoSpaceDE/>
        <w:autoSpaceDN/>
        <w:bidi w:val="0"/>
        <w:snapToGrid/>
        <w:spacing w:line="560" w:lineRule="exact"/>
        <w:ind w:firstLine="643" w:firstLineChars="200"/>
        <w:jc w:val="both"/>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4.6.1 事后处置</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公共汽电车突发事件处置完毕后，事发地各级交通运输主管部门配合属地人民政府，对因参与应急处理工作致病、致残、死亡的人员，给予相应的补助和抚恤；对因突发事件造成生活困难需要社会救助的人员，按国家有关规定负责救助，配合民政部门及时组织救灾物资、生活必需品和社会捐赠物品的运送，保障群众基本生活。</w:t>
      </w:r>
    </w:p>
    <w:p>
      <w:pPr>
        <w:keepNext w:val="0"/>
        <w:keepLines w:val="0"/>
        <w:pageBreakBefore w:val="0"/>
        <w:kinsoku/>
        <w:wordWrap w:val="0"/>
        <w:overflowPunct/>
        <w:topLinePunct/>
        <w:autoSpaceDE/>
        <w:autoSpaceDN/>
        <w:bidi w:val="0"/>
        <w:snapToGrid/>
        <w:spacing w:line="560" w:lineRule="exact"/>
        <w:ind w:firstLine="643" w:firstLineChars="200"/>
        <w:jc w:val="both"/>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4.6.2 事件调查</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城市公共汽电车突发事件发生后，按照有关规定成立调查组，查明事件原因、性质、人员伤亡、影响范围、经济损失等情况，提出防范、整改措施和处理建议。 </w:t>
      </w:r>
    </w:p>
    <w:p>
      <w:pPr>
        <w:keepNext w:val="0"/>
        <w:keepLines w:val="0"/>
        <w:pageBreakBefore w:val="0"/>
        <w:kinsoku/>
        <w:wordWrap w:val="0"/>
        <w:overflowPunct/>
        <w:topLinePunct/>
        <w:autoSpaceDE/>
        <w:autoSpaceDN/>
        <w:bidi w:val="0"/>
        <w:snapToGrid/>
        <w:spacing w:line="560" w:lineRule="exact"/>
        <w:ind w:firstLine="643" w:firstLineChars="200"/>
        <w:jc w:val="both"/>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4.6.3 总结评估</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事发地交通运输主管部门要按规定开展事后总结评估工作，客观评估突发事件造成的损失情况，深入总结存在问题和下一步改进措施，并按规定向本级人民政府和上级交通运输主管部门上报总结评估材料。</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黑体" w:hAnsi="黑体" w:eastAsia="黑体" w:cs="黑体"/>
          <w:bCs/>
          <w:color w:val="000000"/>
          <w:sz w:val="32"/>
          <w:szCs w:val="32"/>
        </w:rPr>
      </w:pPr>
      <w:r>
        <w:rPr>
          <w:rFonts w:hint="eastAsia" w:ascii="黑体" w:hAnsi="黑体" w:eastAsia="黑体" w:cs="黑体"/>
          <w:bCs/>
          <w:color w:val="000000"/>
          <w:sz w:val="32"/>
          <w:szCs w:val="32"/>
        </w:rPr>
        <w:t>5.应急保障</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5.1 队伍保障</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各级交通运输主管部门按照“统一指挥、分级负责，平战结合、协调运转”的原则，通过平急转换机制，将城市公共汽电车日常生产经营与应急处置相结合。</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5.2 通信保障</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在充分整合现有交通通信信息资源的基础上，加快建立和完善“统一管理、多网联动、快速响应、处理有效”的城市公共汽电车应急通信系统，确保城市公共汽电车突发事件应急处置工作的通信畅通。</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5.3 物资保障</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（1）根据城市公共汽车客运突发事件应急救援工作需要，城市公共汽车客运企业要配备必要的救援和抢险的物资车辆，并建立相应的维护、保养和调用等联动制度。</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（2）各地市应急工作小组要协调民政、消防等救援抢险部门，建立救援和抢险物资装备信息数据库，实行动态管理，保障应急指挥和调度。</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5.4 资金保障</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城市公共汽电车突发事件应急保障所需的各项经费，应当按照现行事权、财权划分原则，分级负担，结合交通战备与应急保障，按规定程序列入各级交通运输主管部门年度预算。</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鼓励自然人、法人或者其他组织按照有关法律法规的规定进行捐赠和援助。</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各级交通运输主管部门应当建立有效的监管和评估体系，对城市公共汽电车突发事件应急保障资金的使用及效果进行监管和评估。</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5.5 医疗保障</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市县两级</w:t>
      </w:r>
      <w:r>
        <w:rPr>
          <w:rFonts w:hint="eastAsia" w:ascii="仿宋_GB2312" w:hAnsi="仿宋_GB2312" w:eastAsia="仿宋_GB2312" w:cs="仿宋_GB2312"/>
          <w:color w:val="000000"/>
          <w:sz w:val="32"/>
          <w:szCs w:val="32"/>
        </w:rPr>
        <w:t>交通运输</w:t>
      </w:r>
      <w:r>
        <w:rPr>
          <w:rFonts w:hint="eastAsia" w:ascii="仿宋_GB2312" w:hAnsi="仿宋_GB2312" w:eastAsia="仿宋_GB2312" w:cs="仿宋_GB2312"/>
          <w:color w:val="000000"/>
          <w:sz w:val="32"/>
          <w:szCs w:val="32"/>
          <w:lang w:eastAsia="zh-CN"/>
        </w:rPr>
        <w:t>主管部门</w:t>
      </w:r>
      <w:r>
        <w:rPr>
          <w:rFonts w:hint="eastAsia" w:ascii="仿宋_GB2312" w:hAnsi="仿宋_GB2312" w:eastAsia="仿宋_GB2312" w:cs="仿宋_GB2312"/>
          <w:color w:val="000000"/>
          <w:sz w:val="32"/>
          <w:szCs w:val="32"/>
        </w:rPr>
        <w:t>要与当地医疗卫生、疾病防控机构建立应急医疗保障机制并保持紧密联系，确保在发生城市公共汽电车突发事件时，伤员及病患可在第一时间得到紧急救治，可能发生的疫情在第一时间得到控制。</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5.6 应急演练</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级交通运输主管部门会同反恐、公安、消防、医疗卫生、疾病防疫等部门制定</w:t>
      </w:r>
      <w:r>
        <w:rPr>
          <w:rFonts w:hint="eastAsia" w:ascii="仿宋_GB2312" w:hAnsi="仿宋_GB2312" w:eastAsia="仿宋_GB2312" w:cs="仿宋_GB2312"/>
          <w:color w:val="000000"/>
          <w:sz w:val="32"/>
          <w:szCs w:val="32"/>
          <w:lang w:eastAsia="zh-CN"/>
        </w:rPr>
        <w:t>市县</w:t>
      </w:r>
      <w:r>
        <w:rPr>
          <w:rFonts w:hint="eastAsia" w:ascii="仿宋_GB2312" w:hAnsi="仿宋_GB2312" w:eastAsia="仿宋_GB2312" w:cs="仿宋_GB2312"/>
          <w:color w:val="000000"/>
          <w:sz w:val="32"/>
          <w:szCs w:val="32"/>
        </w:rPr>
        <w:t>联合应急演练计划并组织开展应急演练活动。</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县级</w:t>
      </w:r>
      <w:r>
        <w:rPr>
          <w:rFonts w:hint="eastAsia" w:ascii="仿宋_GB2312" w:hAnsi="仿宋_GB2312" w:eastAsia="仿宋_GB2312" w:cs="仿宋_GB2312"/>
          <w:color w:val="000000"/>
          <w:sz w:val="32"/>
          <w:szCs w:val="32"/>
        </w:rPr>
        <w:t>交通运输主管部门要结合所辖区域实际，每年至少组织一次城市公共汽电车运营企业开展突发事件应急演练。应急演练结束后，演练组织单位应当及时组织演练评估。鼓励委托第三方进行演练效果评估。</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5.7 应急培训</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各级交通运输主管部门应当将应急教育培训纳入日常管理工作，应急保障相关人员每2年至少接受一次培训，并依据培训记录，对应急人员实行动态管理。</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黑体" w:hAnsi="黑体" w:eastAsia="黑体" w:cs="黑体"/>
          <w:bCs/>
          <w:color w:val="000000"/>
          <w:sz w:val="32"/>
          <w:szCs w:val="32"/>
        </w:rPr>
      </w:pPr>
      <w:r>
        <w:rPr>
          <w:rFonts w:hint="eastAsia" w:ascii="黑体" w:hAnsi="黑体" w:eastAsia="黑体" w:cs="黑体"/>
          <w:bCs/>
          <w:color w:val="000000"/>
          <w:sz w:val="32"/>
          <w:szCs w:val="32"/>
        </w:rPr>
        <w:t>6.附则</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6.1 预案管理与更新</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当出现下列情形之一时，</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交通运输</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将组织修改完善本预案，更新后报</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人民政府：</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（1）预案依据的有关法律、行政法规、规章、标准、上位预案中的有关规定发生变化的；</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（2）城市公共汽电车突发事件应急机构及其职责发生重大变化或调整的；</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（3）预案中的其他重要信息发生变化的；</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（4）在突发事件实际应对和应急演练中发现问题需要进行重大调整的；</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（5）预案制定单位认为应当修订的其他情况。</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6.2 </w:t>
      </w:r>
      <w:r>
        <w:rPr>
          <w:rFonts w:hint="eastAsia" w:ascii="楷体_GB2312" w:hAnsi="楷体_GB2312" w:eastAsia="楷体_GB2312" w:cs="楷体_GB2312"/>
          <w:bCs/>
          <w:color w:val="000000"/>
          <w:sz w:val="32"/>
          <w:szCs w:val="32"/>
          <w:lang w:eastAsia="zh-CN"/>
        </w:rPr>
        <w:t>县</w:t>
      </w:r>
      <w:r>
        <w:rPr>
          <w:rFonts w:hint="eastAsia" w:ascii="楷体_GB2312" w:hAnsi="楷体_GB2312" w:eastAsia="楷体_GB2312" w:cs="楷体_GB2312"/>
          <w:bCs/>
          <w:color w:val="000000"/>
          <w:sz w:val="32"/>
          <w:szCs w:val="32"/>
        </w:rPr>
        <w:t>级预案制定</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已开通公共汽电车客运的县（市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区）均需参照本预案，制定其公共汽电车突发事件应急预案。</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6.3 预案制定与解释</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本预案由</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交通运输</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负责制定、组织实施和解释。</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6.4 预案实施时间</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本预案自印发之日起实施。</w:t>
      </w:r>
    </w:p>
    <w:p>
      <w:pPr>
        <w:keepNext w:val="0"/>
        <w:keepLines w:val="0"/>
        <w:pageBreakBefore w:val="0"/>
        <w:kinsoku/>
        <w:wordWrap/>
        <w:overflowPunct/>
        <w:topLinePunct w:val="0"/>
        <w:autoSpaceDE/>
        <w:autoSpaceDN/>
        <w:bidi w:val="0"/>
        <w:adjustRightInd w:val="0"/>
        <w:snapToGrid/>
        <w:spacing w:line="240" w:lineRule="auto"/>
        <w:ind w:firstLine="560" w:firstLineChars="200"/>
        <w:jc w:val="both"/>
        <w:textAlignment w:val="baseline"/>
        <w:rPr>
          <w:rFonts w:hint="eastAsia" w:ascii="宋体" w:hAnsi="宋体" w:eastAsia="宋体" w:cs="宋体"/>
          <w:color w:val="000000"/>
          <w:sz w:val="28"/>
          <w:szCs w:val="28"/>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OGFhOWE3MzJmZTIwODk3ZWZmZTliYmMyMDA5OGUifQ=="/>
  </w:docVars>
  <w:rsids>
    <w:rsidRoot w:val="B5EF06A2"/>
    <w:rsid w:val="0ECB6B74"/>
    <w:rsid w:val="3BCD386A"/>
    <w:rsid w:val="3DFE75E1"/>
    <w:rsid w:val="3FFF5DA9"/>
    <w:rsid w:val="54EFFC5E"/>
    <w:rsid w:val="7BCFCEE2"/>
    <w:rsid w:val="7BE766D0"/>
    <w:rsid w:val="7FF78D95"/>
    <w:rsid w:val="9FF9A4E6"/>
    <w:rsid w:val="B5EF06A2"/>
    <w:rsid w:val="BFA8A30B"/>
    <w:rsid w:val="DDBB54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spacing w:after="120" w:afterLines="0" w:afterAutospacing="0"/>
      <w:jc w:val="both"/>
    </w:pPr>
    <w:rPr>
      <w:rFonts w:ascii="Calibri" w:hAnsi="Calibri" w:eastAsia="仿宋_GB2312" w:cs="Arial"/>
      <w:kern w:val="2"/>
      <w:sz w:val="32"/>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9288</Words>
  <Characters>9542</Characters>
  <Lines>0</Lines>
  <Paragraphs>0</Paragraphs>
  <TotalTime>3</TotalTime>
  <ScaleCrop>false</ScaleCrop>
  <LinksUpToDate>false</LinksUpToDate>
  <CharactersWithSpaces>9620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2021-12-05T08:10:00Z</dcterms:created>
  <dc:creator>user</dc:creator>
  <cp:lastModifiedBy>Administrator</cp:lastModifiedBy>
  <dcterms:modified xsi:type="dcterms:W3CDTF">2023-04-12T01:23:06Z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D99D9CEC3C41469FA21FA80576FBF173_12</vt:lpwstr>
  </property>
</Properties>
</file>