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1265C">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rPr>
          <w:rFonts w:hint="eastAsia" w:ascii="宋体" w:hAnsi="宋体" w:eastAsia="方正小标宋_GBK" w:cs="方正小标宋_GBK"/>
          <w:b w:val="0"/>
          <w:bCs w:val="0"/>
          <w:color w:val="000000" w:themeColor="text1"/>
          <w:kern w:val="2"/>
          <w:sz w:val="44"/>
          <w:szCs w:val="44"/>
          <w:lang w:val="en-US" w:eastAsia="zh-CN" w:bidi="ar-SA"/>
          <w14:textFill>
            <w14:solidFill>
              <w14:schemeClr w14:val="tx1"/>
            </w14:solidFill>
          </w14:textFill>
        </w:rPr>
      </w:pPr>
      <w:r>
        <w:rPr>
          <w:rFonts w:hint="eastAsia" w:ascii="宋体" w:hAnsi="宋体" w:eastAsia="方正小标宋_GBK" w:cs="方正小标宋_GBK"/>
          <w:b w:val="0"/>
          <w:bCs w:val="0"/>
          <w:color w:val="000000" w:themeColor="text1"/>
          <w:kern w:val="2"/>
          <w:sz w:val="44"/>
          <w:szCs w:val="44"/>
          <w:lang w:val="en-US" w:eastAsia="zh-CN" w:bidi="ar-SA"/>
          <w14:textFill>
            <w14:solidFill>
              <w14:schemeClr w14:val="tx1"/>
            </w14:solidFill>
          </w14:textFill>
        </w:rPr>
        <w:t>赣州市城市机动车停车管理条例</w:t>
      </w:r>
    </w:p>
    <w:p w14:paraId="56969D3D">
      <w:pPr>
        <w:keepNext w:val="0"/>
        <w:keepLines w:val="0"/>
        <w:pageBreakBefore w:val="0"/>
        <w:widowControl w:val="0"/>
        <w:kinsoku/>
        <w:wordWrap/>
        <w:overflowPunct w:val="0"/>
        <w:topLinePunct w:val="0"/>
        <w:autoSpaceDE/>
        <w:autoSpaceDN/>
        <w:bidi w:val="0"/>
        <w:adjustRightInd/>
        <w:snapToGrid/>
        <w:spacing w:line="579" w:lineRule="exact"/>
        <w:ind w:left="0" w:leftChars="0" w:right="0" w:rightChars="0" w:firstLine="640" w:firstLineChars="200"/>
        <w:jc w:val="both"/>
        <w:textAlignment w:val="auto"/>
        <w:rPr>
          <w:rFonts w:hint="eastAsia" w:ascii="宋体" w:hAnsi="宋体" w:eastAsia="楷体_GB2312" w:cs="楷体_GB2312"/>
          <w:b w:val="0"/>
          <w:bCs w:val="0"/>
          <w:color w:val="000000" w:themeColor="text1"/>
          <w:kern w:val="2"/>
          <w:sz w:val="32"/>
          <w:szCs w:val="32"/>
          <w:lang w:val="en-US" w:eastAsia="zh-CN" w:bidi="ar-SA"/>
          <w14:textFill>
            <w14:solidFill>
              <w14:schemeClr w14:val="tx1"/>
            </w14:solidFill>
          </w14:textFill>
        </w:rPr>
      </w:pPr>
      <w:r>
        <w:rPr>
          <w:rFonts w:hint="eastAsia" w:ascii="宋体" w:hAnsi="宋体" w:eastAsia="楷体_GB2312" w:cs="楷体_GB2312"/>
          <w:b w:val="0"/>
          <w:bCs w:val="0"/>
          <w:color w:val="000000" w:themeColor="text1"/>
          <w:kern w:val="2"/>
          <w:sz w:val="32"/>
          <w:szCs w:val="32"/>
          <w:lang w:val="en-US" w:eastAsia="zh-CN" w:bidi="ar-SA"/>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2024年8月30日</w:t>
      </w:r>
      <w:r>
        <w:rPr>
          <w:rFonts w:hint="eastAsia" w:ascii="宋体" w:hAnsi="宋体" w:eastAsia="楷体_GB2312" w:cs="楷体_GB2312"/>
          <w:b w:val="0"/>
          <w:bCs w:val="0"/>
          <w:color w:val="000000" w:themeColor="text1"/>
          <w:kern w:val="2"/>
          <w:sz w:val="32"/>
          <w:szCs w:val="32"/>
          <w:lang w:val="en-US" w:eastAsia="zh-CN" w:bidi="ar-SA"/>
          <w14:textFill>
            <w14:solidFill>
              <w14:schemeClr w14:val="tx1"/>
            </w14:solidFill>
          </w14:textFill>
        </w:rPr>
        <w:t xml:space="preserve">赣州市第六届人民代表大会常务委员会第二十八次会议通过  </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2024年9月26日</w:t>
      </w:r>
      <w:r>
        <w:rPr>
          <w:rFonts w:hint="eastAsia" w:ascii="宋体" w:hAnsi="宋体" w:eastAsia="楷体_GB2312" w:cs="楷体_GB2312"/>
          <w:b w:val="0"/>
          <w:bCs w:val="0"/>
          <w:color w:val="000000" w:themeColor="text1"/>
          <w:kern w:val="2"/>
          <w:sz w:val="32"/>
          <w:szCs w:val="32"/>
          <w:lang w:val="en-US" w:eastAsia="zh-CN" w:bidi="ar-SA"/>
          <w14:textFill>
            <w14:solidFill>
              <w14:schemeClr w14:val="tx1"/>
            </w14:solidFill>
          </w14:textFill>
        </w:rPr>
        <w:t>江西省第十四届人民代表大会常务委员会第十一次会议批准）</w:t>
      </w:r>
    </w:p>
    <w:p w14:paraId="788B6EEA">
      <w:pPr>
        <w:keepNext w:val="0"/>
        <w:keepLines w:val="0"/>
        <w:pageBreakBefore w:val="0"/>
        <w:widowControl w:val="0"/>
        <w:kinsoku/>
        <w:wordWrap/>
        <w:overflowPunct w:val="0"/>
        <w:topLinePunct w:val="0"/>
        <w:autoSpaceDE/>
        <w:autoSpaceDN/>
        <w:bidi w:val="0"/>
        <w:spacing w:line="579" w:lineRule="exact"/>
        <w:ind w:firstLine="643" w:firstLineChars="200"/>
        <w:textAlignment w:val="auto"/>
        <w:rPr>
          <w:rFonts w:hint="eastAsia" w:ascii="宋体" w:hAnsi="宋体" w:eastAsia="宋体" w:cs="宋体"/>
          <w:b/>
          <w:bCs/>
          <w:color w:val="000000" w:themeColor="text1"/>
          <w:sz w:val="32"/>
          <w:szCs w:val="32"/>
          <w14:textFill>
            <w14:solidFill>
              <w14:schemeClr w14:val="tx1"/>
            </w14:solidFill>
          </w14:textFill>
        </w:rPr>
      </w:pPr>
    </w:p>
    <w:p w14:paraId="4B4629CB">
      <w:pPr>
        <w:pStyle w:val="2"/>
        <w:keepNext w:val="0"/>
        <w:keepLines w:val="0"/>
        <w:pageBreakBefore w:val="0"/>
        <w:widowControl w:val="0"/>
        <w:kinsoku/>
        <w:wordWrap/>
        <w:overflowPunct w:val="0"/>
        <w:topLinePunct w:val="0"/>
        <w:autoSpaceDE/>
        <w:autoSpaceDN/>
        <w:bidi w:val="0"/>
        <w:spacing w:line="579" w:lineRule="exact"/>
        <w:ind w:firstLine="643"/>
        <w:textAlignment w:val="auto"/>
        <w:rPr>
          <w:rFonts w:hint="eastAsia" w:ascii="宋体" w:hAnsi="宋体" w:eastAsia="仿宋_GB2312" w:cs="仿宋"/>
          <w:color w:val="000000" w:themeColor="text1"/>
          <w:sz w:val="32"/>
          <w:szCs w:val="32"/>
          <w14:textFill>
            <w14:solidFill>
              <w14:schemeClr w14:val="tx1"/>
            </w14:solidFill>
          </w14:textFill>
        </w:rPr>
      </w:pPr>
      <w:r>
        <w:rPr>
          <w:rFonts w:hint="eastAsia" w:ascii="宋体" w:hAnsi="宋体" w:eastAsia="黑体" w:cs="黑体"/>
          <w:b w:val="0"/>
          <w:bCs w:val="0"/>
          <w:color w:val="000000" w:themeColor="text1"/>
          <w:kern w:val="2"/>
          <w:sz w:val="32"/>
          <w:szCs w:val="32"/>
          <w:lang w:val="en-US" w:eastAsia="zh-CN" w:bidi="ar-SA"/>
          <w14:textFill>
            <w14:solidFill>
              <w14:schemeClr w14:val="tx1"/>
            </w14:solidFill>
          </w14:textFill>
        </w:rPr>
        <w:t>第一条</w:t>
      </w:r>
      <w:r>
        <w:rPr>
          <w:rFonts w:hint="eastAsia" w:ascii="宋体" w:hAnsi="宋体" w:eastAsia="仿宋_GB2312" w:cs="仿宋"/>
          <w:b/>
          <w:bCs/>
          <w:color w:val="000000" w:themeColor="text1"/>
          <w:sz w:val="32"/>
          <w:szCs w:val="32"/>
          <w:lang w:val="en-US" w:eastAsia="zh-CN"/>
          <w14:textFill>
            <w14:solidFill>
              <w14:schemeClr w14:val="tx1"/>
            </w14:solidFill>
          </w14:textFill>
        </w:rPr>
        <w:t xml:space="preserve">  </w:t>
      </w: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为了加强城市机动车停车管理，规范停车秩序，便利市民出行，促进城市交通有序、安全、畅通，根据《中华人民共和国城乡规划法》《中华人民共和国道路交通安全法》等法律、法规，结合本市实际，制定本条例。</w:t>
      </w:r>
    </w:p>
    <w:p w14:paraId="518A3B86">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黑体" w:cs="黑体"/>
          <w:b w:val="0"/>
          <w:bCs w:val="0"/>
          <w:color w:val="000000" w:themeColor="text1"/>
          <w:kern w:val="2"/>
          <w:sz w:val="32"/>
          <w:szCs w:val="32"/>
          <w:lang w:val="en-US" w:eastAsia="zh-CN" w:bidi="ar-SA"/>
          <w14:textFill>
            <w14:solidFill>
              <w14:schemeClr w14:val="tx1"/>
            </w14:solidFill>
          </w14:textFill>
        </w:rPr>
        <w:t>第二条</w:t>
      </w:r>
      <w:r>
        <w:rPr>
          <w:rFonts w:hint="eastAsia" w:ascii="宋体" w:hAnsi="宋体" w:eastAsia="仿宋_GB2312" w:cs="仿宋"/>
          <w:b/>
          <w:bCs/>
          <w:color w:val="000000" w:themeColor="text1"/>
          <w:sz w:val="32"/>
          <w:szCs w:val="32"/>
          <w:lang w:val="en-US" w:eastAsia="zh-CN"/>
          <w14:textFill>
            <w14:solidFill>
              <w14:schemeClr w14:val="tx1"/>
            </w14:solidFill>
          </w14:textFill>
        </w:rPr>
        <w:t xml:space="preserve">  </w:t>
      </w: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本市实行城市化管理区域内的机动车停车场规划、建设、管理和停车行为管理等活动，适用本条例。</w:t>
      </w:r>
    </w:p>
    <w:p w14:paraId="59FC287C">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公共交通车辆、危险化学品运输车辆等专业运输机动车以及二轮机动车停车场规划、建设、管理和停车行为管理等活动，按照国家和省、市有关规定执行。</w:t>
      </w:r>
    </w:p>
    <w:p w14:paraId="0750DD9F">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黑体" w:cs="黑体"/>
          <w:b w:val="0"/>
          <w:bCs w:val="0"/>
          <w:color w:val="000000" w:themeColor="text1"/>
          <w:kern w:val="2"/>
          <w:sz w:val="32"/>
          <w:szCs w:val="32"/>
          <w:lang w:val="en-US" w:eastAsia="zh-CN" w:bidi="ar-SA"/>
          <w14:textFill>
            <w14:solidFill>
              <w14:schemeClr w14:val="tx1"/>
            </w14:solidFill>
          </w14:textFill>
        </w:rPr>
        <w:t>第三条</w:t>
      </w:r>
      <w:r>
        <w:rPr>
          <w:rFonts w:hint="eastAsia" w:ascii="宋体" w:hAnsi="宋体" w:eastAsia="仿宋_GB2312" w:cs="仿宋"/>
          <w:b/>
          <w:bCs/>
          <w:color w:val="000000" w:themeColor="text1"/>
          <w:sz w:val="32"/>
          <w:szCs w:val="32"/>
          <w:lang w:val="en-US" w:eastAsia="zh-CN"/>
          <w14:textFill>
            <w14:solidFill>
              <w14:schemeClr w14:val="tx1"/>
            </w14:solidFill>
          </w14:textFill>
        </w:rPr>
        <w:t xml:space="preserve">  </w:t>
      </w: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本条例所称停车场，是指供机动车停放的场所及</w:t>
      </w:r>
      <w:r>
        <w:rPr>
          <w:rFonts w:hint="eastAsia" w:ascii="宋体" w:hAnsi="宋体" w:eastAsia="仿宋_GB2312" w:cs="仿宋_GB2312"/>
          <w:color w:val="000000" w:themeColor="text1"/>
          <w:spacing w:val="0"/>
          <w:kern w:val="2"/>
          <w:sz w:val="32"/>
          <w:szCs w:val="32"/>
          <w:lang w:val="en" w:eastAsia="zh-CN" w:bidi="ar-SA"/>
          <w14:textFill>
            <w14:solidFill>
              <w14:schemeClr w14:val="tx1"/>
            </w14:solidFill>
          </w14:textFill>
        </w:rPr>
        <w:t>其</w:t>
      </w: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配套附属设施，包括公共停车场、专用停车场和道路临时停车泊位。</w:t>
      </w:r>
    </w:p>
    <w:p w14:paraId="0E7A86D7">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公共停车场，是指供社会公众停放机动车的场所，包括独立建设的公共停车场、建筑物配建的公共停车场以及利用闲置土地、建筑退让红线公共服务区域等临时设置的公共停车场。</w:t>
      </w:r>
    </w:p>
    <w:p w14:paraId="39CD7DE2">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bookmarkStart w:id="0" w:name="tiao_3_kuan_3"/>
      <w:bookmarkEnd w:id="0"/>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专用停车场，是指供单位、居住区等停放机动车的场所，包括独立建设的专用停车场、建筑物配建的专用停车场以及建筑区划内共有部位设置的</w:t>
      </w:r>
      <w:r>
        <w:rPr>
          <w:rFonts w:hint="eastAsia" w:ascii="宋体" w:hAnsi="宋体" w:eastAsia="仿宋_GB2312" w:cs="仿宋_GB2312"/>
          <w:color w:val="000000" w:themeColor="text1"/>
          <w:spacing w:val="0"/>
          <w:kern w:val="2"/>
          <w:sz w:val="32"/>
          <w:szCs w:val="32"/>
          <w:lang w:val="en" w:eastAsia="zh-CN" w:bidi="ar-SA"/>
          <w14:textFill>
            <w14:solidFill>
              <w14:schemeClr w14:val="tx1"/>
            </w14:solidFill>
          </w14:textFill>
        </w:rPr>
        <w:t>专用停车场</w:t>
      </w: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w:t>
      </w:r>
      <w:bookmarkStart w:id="1" w:name="tiao_3_kuan_4"/>
      <w:bookmarkEnd w:id="1"/>
    </w:p>
    <w:p w14:paraId="5F624884">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道路临时停车泊位，是指依法在城市道路范围内设置、供社会公众临时停放机动车的场所。</w:t>
      </w:r>
    </w:p>
    <w:p w14:paraId="65E8AC32">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黑体" w:cs="黑体"/>
          <w:b w:val="0"/>
          <w:bCs w:val="0"/>
          <w:color w:val="000000" w:themeColor="text1"/>
          <w:kern w:val="2"/>
          <w:sz w:val="32"/>
          <w:szCs w:val="32"/>
          <w:lang w:val="en-US" w:eastAsia="zh-CN" w:bidi="ar-SA"/>
          <w14:textFill>
            <w14:solidFill>
              <w14:schemeClr w14:val="tx1"/>
            </w14:solidFill>
          </w14:textFill>
        </w:rPr>
        <w:t>第四条</w:t>
      </w:r>
      <w:r>
        <w:rPr>
          <w:rFonts w:hint="eastAsia" w:ascii="宋体" w:hAnsi="宋体" w:eastAsia="仿宋_GB2312" w:cs="仿宋"/>
          <w:b/>
          <w:bCs/>
          <w:color w:val="000000" w:themeColor="text1"/>
          <w:sz w:val="32"/>
          <w:szCs w:val="32"/>
          <w:lang w:val="en-US" w:eastAsia="zh-CN"/>
          <w14:textFill>
            <w14:solidFill>
              <w14:schemeClr w14:val="tx1"/>
            </w14:solidFill>
          </w14:textFill>
        </w:rPr>
        <w:t xml:space="preserve">  </w:t>
      </w: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市、县（市、区）人民政府应当加强对机动车停车管理工作的领导，保障土地供给和资金投入，建立机动车停车综合协调机制，研究解决重大问题。</w:t>
      </w:r>
    </w:p>
    <w:p w14:paraId="51B01D63">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赣州经济技术开发区管理委员会、赣州蓉江新区管理委员会按照市人民政府赋予的管理权限，负责辖区内机动车停车管理工作。</w:t>
      </w:r>
    </w:p>
    <w:p w14:paraId="330B9CFA">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乡（镇）人民政府、街道办事处应当配合有关部门做好本辖区内机动车停车管理工作，指导村（居）民委员会、业主委员会、物业服务人做好机动车停车管理工作。</w:t>
      </w:r>
    </w:p>
    <w:p w14:paraId="66ABF9F0">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黑体" w:cs="黑体"/>
          <w:b w:val="0"/>
          <w:bCs w:val="0"/>
          <w:color w:val="000000" w:themeColor="text1"/>
          <w:kern w:val="2"/>
          <w:sz w:val="32"/>
          <w:szCs w:val="32"/>
          <w:lang w:val="en-US" w:eastAsia="zh-CN" w:bidi="ar-SA"/>
          <w14:textFill>
            <w14:solidFill>
              <w14:schemeClr w14:val="tx1"/>
            </w14:solidFill>
          </w14:textFill>
        </w:rPr>
        <w:t>第五条</w:t>
      </w:r>
      <w:r>
        <w:rPr>
          <w:rFonts w:hint="eastAsia" w:ascii="宋体" w:hAnsi="宋体" w:eastAsia="仿宋_GB2312" w:cs="仿宋"/>
          <w:b/>
          <w:bCs/>
          <w:color w:val="000000" w:themeColor="text1"/>
          <w:sz w:val="32"/>
          <w:szCs w:val="32"/>
          <w:lang w:val="en-US" w:eastAsia="zh-CN"/>
          <w14:textFill>
            <w14:solidFill>
              <w14:schemeClr w14:val="tx1"/>
            </w14:solidFill>
          </w14:textFill>
        </w:rPr>
        <w:t xml:space="preserve">  </w:t>
      </w: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市、县（市、区）人民政府城市管理部门统筹机动车停车管理工作，负责停车场的检查指导、监督管理以及停车行为管理的综合协调，会同公安机关交通管理部门做好道路临时停车泊位的设置、管理等工作。</w:t>
      </w:r>
    </w:p>
    <w:p w14:paraId="694CB48C">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公安机关交通管理部门负责依法纠正、查处机动车在道路上的违法停车行为，参与机动车停车场规划等工作。</w:t>
      </w:r>
    </w:p>
    <w:p w14:paraId="5BFC02B8">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发展改革部门负责实行政府定价和政府指导价的机动车停车服务收费标准制定等工作。</w:t>
      </w:r>
    </w:p>
    <w:p w14:paraId="4784C811">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市场监督管理部门负责查处机动车停车服务价格收费违法违规行为等工作。</w:t>
      </w:r>
    </w:p>
    <w:p w14:paraId="0EC8DEA9">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物业管理主管部门应当会同城市管理部门做好物业服务区域配建的停车场以及建筑退让红线公共服务区域内临时设置的公共停车场的日常管理等工作。</w:t>
      </w:r>
    </w:p>
    <w:p w14:paraId="198F41B2">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自然资源、财政、生态环境、交通运输、行政审批、人民防空、消防救援、国有资产监督管理等部门和单位按照各自职责，做好城市机动车停车管理相关工作。</w:t>
      </w:r>
    </w:p>
    <w:p w14:paraId="24310BEA">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黑体" w:cs="黑体"/>
          <w:b w:val="0"/>
          <w:bCs w:val="0"/>
          <w:color w:val="000000" w:themeColor="text1"/>
          <w:kern w:val="2"/>
          <w:sz w:val="32"/>
          <w:szCs w:val="32"/>
          <w:lang w:val="en-US" w:eastAsia="zh-CN" w:bidi="ar-SA"/>
          <w14:textFill>
            <w14:solidFill>
              <w14:schemeClr w14:val="tx1"/>
            </w14:solidFill>
          </w14:textFill>
        </w:rPr>
        <w:t>第六条</w:t>
      </w:r>
      <w:r>
        <w:rPr>
          <w:rFonts w:hint="eastAsia" w:ascii="宋体" w:hAnsi="宋体" w:eastAsia="仿宋_GB2312" w:cs="仿宋"/>
          <w:b/>
          <w:bCs/>
          <w:color w:val="000000" w:themeColor="text1"/>
          <w:sz w:val="32"/>
          <w:szCs w:val="32"/>
          <w:lang w:val="en-US" w:eastAsia="zh-CN"/>
          <w14:textFill>
            <w14:solidFill>
              <w14:schemeClr w14:val="tx1"/>
            </w14:solidFill>
          </w14:textFill>
        </w:rPr>
        <w:t xml:space="preserve">  </w:t>
      </w: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市、县（市、区）人民政府城市管理部门应当会同公安机关交通管理、市场监督管理、自然资源、消防救援等部门和单位，建立和完善信息共享、联合执法</w:t>
      </w:r>
      <w:r>
        <w:rPr>
          <w:rFonts w:hint="eastAsia" w:ascii="宋体" w:hAnsi="宋体" w:eastAsia="仿宋_GB2312" w:cs="仿宋_GB2312"/>
          <w:color w:val="000000" w:themeColor="text1"/>
          <w:spacing w:val="0"/>
          <w:kern w:val="2"/>
          <w:sz w:val="32"/>
          <w:szCs w:val="32"/>
          <w:lang w:val="en" w:eastAsia="zh-CN" w:bidi="ar-SA"/>
          <w14:textFill>
            <w14:solidFill>
              <w14:schemeClr w14:val="tx1"/>
            </w14:solidFill>
          </w14:textFill>
        </w:rPr>
        <w:t>、</w:t>
      </w: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案件移送等执法联动机制。</w:t>
      </w:r>
    </w:p>
    <w:p w14:paraId="49EA154F">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黑体" w:cs="黑体"/>
          <w:b w:val="0"/>
          <w:bCs w:val="0"/>
          <w:color w:val="000000" w:themeColor="text1"/>
          <w:kern w:val="2"/>
          <w:sz w:val="32"/>
          <w:szCs w:val="32"/>
          <w:lang w:val="en-US" w:eastAsia="zh-CN" w:bidi="ar-SA"/>
          <w14:textFill>
            <w14:solidFill>
              <w14:schemeClr w14:val="tx1"/>
            </w14:solidFill>
          </w14:textFill>
        </w:rPr>
        <w:t>第七条</w:t>
      </w:r>
      <w:r>
        <w:rPr>
          <w:rFonts w:hint="eastAsia" w:ascii="宋体" w:hAnsi="宋体" w:eastAsia="仿宋_GB2312" w:cs="仿宋"/>
          <w:b/>
          <w:bCs/>
          <w:color w:val="000000" w:themeColor="text1"/>
          <w:sz w:val="32"/>
          <w:szCs w:val="32"/>
          <w:lang w:val="en-US" w:eastAsia="zh-CN"/>
          <w14:textFill>
            <w14:solidFill>
              <w14:schemeClr w14:val="tx1"/>
            </w14:solidFill>
          </w14:textFill>
        </w:rPr>
        <w:t xml:space="preserve">  </w:t>
      </w: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市、县（市、区）人民政府城市管理部门应当会同自然资源、公安机关交通管理、发展改革等部门，根据国土空间规划和综合交通运输体系规划等，结合停车需求，组织编制公共停车场专项规划，报本级人民政府批准后公布实施。</w:t>
      </w:r>
    </w:p>
    <w:p w14:paraId="33731A46">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编制公共停车场专项规划应当区分不同区域的功能要求，按照差异化、集约化和智能化发展模式，统筹利用地上地下空间，合理布局，明确控制目标和建设时序，并将停车场与城市交通枢纽、公交场站、旅游集散地等场所衔接。</w:t>
      </w:r>
    </w:p>
    <w:p w14:paraId="38FDE5B3">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经批准的公共停车场专项规划不得擅自变更。确需变更的，应当按照原批准程序报请批准，并向社会公布。</w:t>
      </w:r>
    </w:p>
    <w:p w14:paraId="21CE9203">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黑体" w:cs="黑体"/>
          <w:b w:val="0"/>
          <w:bCs w:val="0"/>
          <w:color w:val="000000" w:themeColor="text1"/>
          <w:kern w:val="2"/>
          <w:sz w:val="32"/>
          <w:szCs w:val="32"/>
          <w:lang w:val="en-US" w:eastAsia="zh-CN" w:bidi="ar-SA"/>
          <w14:textFill>
            <w14:solidFill>
              <w14:schemeClr w14:val="tx1"/>
            </w14:solidFill>
          </w14:textFill>
        </w:rPr>
        <w:t>第八条</w:t>
      </w:r>
      <w:r>
        <w:rPr>
          <w:rFonts w:hint="eastAsia" w:ascii="宋体" w:hAnsi="宋体" w:eastAsia="仿宋_GB2312" w:cs="仿宋"/>
          <w:b/>
          <w:bCs/>
          <w:color w:val="000000" w:themeColor="text1"/>
          <w:sz w:val="32"/>
          <w:szCs w:val="32"/>
          <w:lang w:val="en-US" w:eastAsia="zh-CN"/>
          <w14:textFill>
            <w14:solidFill>
              <w14:schemeClr w14:val="tx1"/>
            </w14:solidFill>
          </w14:textFill>
        </w:rPr>
        <w:t xml:space="preserve">  </w:t>
      </w: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新建、改建、扩建公共建筑、商业街区、大（中）型建筑等建设项目，应当按照国家有关规定和依法确定的配建标准、设计规范配建停车场。配建的公共停车场、专用停车场应当与主体工程同步设计、同步建设、同步验收、同步交付使用。</w:t>
      </w:r>
    </w:p>
    <w:p w14:paraId="5294C1AC">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实施城市更新改造、政策性搬迁等腾出的土地应当按照一定比例配建停车场。政府投资建设的交通枢纽、学校、医院等公共建筑的停车场无法满足停车需求，具备补建条件的，应当补建。</w:t>
      </w:r>
    </w:p>
    <w:p w14:paraId="01FB2A7E">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公共停车场、专用停车场等设置新能源汽车充电设施的，应当符合相关强制性标准。地下、半地下和多层、高层停车场内，未设置火灾自动报警系统、排烟设施、自动喷水灭火系统、消防应急照明和疏散指示标志的，不得配建充电设施。</w:t>
      </w:r>
    </w:p>
    <w:p w14:paraId="3D3DFAA8">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黑体" w:cs="黑体"/>
          <w:b w:val="0"/>
          <w:bCs w:val="0"/>
          <w:color w:val="000000" w:themeColor="text1"/>
          <w:kern w:val="2"/>
          <w:sz w:val="32"/>
          <w:szCs w:val="32"/>
          <w:lang w:val="en-US" w:eastAsia="zh-CN" w:bidi="ar-SA"/>
          <w14:textFill>
            <w14:solidFill>
              <w14:schemeClr w14:val="tx1"/>
            </w14:solidFill>
          </w14:textFill>
        </w:rPr>
        <w:t>第九条</w:t>
      </w:r>
      <w:r>
        <w:rPr>
          <w:rFonts w:hint="eastAsia" w:ascii="宋体" w:hAnsi="宋体" w:eastAsia="仿宋_GB2312" w:cs="仿宋"/>
          <w:b/>
          <w:bCs/>
          <w:color w:val="000000" w:themeColor="text1"/>
          <w:sz w:val="32"/>
          <w:szCs w:val="32"/>
          <w:lang w:val="en-US" w:eastAsia="zh-CN"/>
          <w14:textFill>
            <w14:solidFill>
              <w14:schemeClr w14:val="tx1"/>
            </w14:solidFill>
          </w14:textFill>
        </w:rPr>
        <w:t xml:space="preserve">  </w:t>
      </w: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市、县（市、区）人民政府可以在待建土地、空闲厂区、边角空地等闲置场所，依法组织协调临时设置停车场，停车场的设置应当符合相关建设标准和设计规范要求。</w:t>
      </w:r>
    </w:p>
    <w:p w14:paraId="3F536D6A">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居住区配建的停车泊位不能满足业主停车需求的，在符合相关法律、法规的规定且不影响道路通行、消防安全的前提下，经业主大会依法决定，在城市管理部门的指导下，可以利用建筑退让红线公共服务区域设置临时停车场。城市管理部门应当会同公安机关交通管理、自然资源、物业管理、消防救援等部门和单位，进行现场勘查指导。</w:t>
      </w:r>
    </w:p>
    <w:p w14:paraId="0892B295">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黑体" w:cs="黑体"/>
          <w:b w:val="0"/>
          <w:bCs w:val="0"/>
          <w:color w:val="000000" w:themeColor="text1"/>
          <w:kern w:val="2"/>
          <w:sz w:val="32"/>
          <w:szCs w:val="32"/>
          <w:lang w:val="en-US" w:eastAsia="zh-CN" w:bidi="ar-SA"/>
          <w14:textFill>
            <w14:solidFill>
              <w14:schemeClr w14:val="tx1"/>
            </w14:solidFill>
          </w14:textFill>
        </w:rPr>
        <w:t>第十条</w:t>
      </w:r>
      <w:r>
        <w:rPr>
          <w:rFonts w:hint="eastAsia" w:ascii="宋体" w:hAnsi="宋体" w:eastAsia="仿宋_GB2312" w:cs="仿宋"/>
          <w:b/>
          <w:bCs/>
          <w:color w:val="000000" w:themeColor="text1"/>
          <w:sz w:val="32"/>
          <w:szCs w:val="32"/>
          <w:lang w:val="en-US" w:eastAsia="zh-CN"/>
          <w14:textFill>
            <w14:solidFill>
              <w14:schemeClr w14:val="tx1"/>
            </w14:solidFill>
          </w14:textFill>
        </w:rPr>
        <w:t xml:space="preserve">  </w:t>
      </w: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道路临时停车泊位的设置应当与区域停车场供求状况、车辆通行条件和道路承载能力相适应，不得影响车辆、行人通行和其他市政设施正常使用。</w:t>
      </w:r>
    </w:p>
    <w:p w14:paraId="5FDC402C">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居住区、医院、学校、服务窗口单位以及背街小巷等机动车停车供需矛盾突出的区域，由城市管理部门会同公安机关交通管理部门根据周边公共停车场的设置情况以及道路通行条件，合理设置道路临时停车泊位，或者设置夜间道路临时停车</w:t>
      </w:r>
      <w:r>
        <w:rPr>
          <w:rFonts w:hint="eastAsia" w:ascii="宋体" w:hAnsi="宋体" w:eastAsia="仿宋_GB2312" w:cs="仿宋_GB2312"/>
          <w:color w:val="000000" w:themeColor="text1"/>
          <w:spacing w:val="0"/>
          <w:kern w:val="2"/>
          <w:sz w:val="32"/>
          <w:szCs w:val="32"/>
          <w:lang w:val="en" w:eastAsia="zh-CN" w:bidi="ar-SA"/>
          <w14:textFill>
            <w14:solidFill>
              <w14:schemeClr w14:val="tx1"/>
            </w14:solidFill>
          </w14:textFill>
        </w:rPr>
        <w:t>场所</w:t>
      </w: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，明示停车时段、停车区域。</w:t>
      </w:r>
    </w:p>
    <w:p w14:paraId="2FD515A2">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黑体" w:cs="黑体"/>
          <w:b w:val="0"/>
          <w:bCs w:val="0"/>
          <w:color w:val="000000" w:themeColor="text1"/>
          <w:kern w:val="2"/>
          <w:sz w:val="32"/>
          <w:szCs w:val="32"/>
          <w:lang w:val="en-US" w:eastAsia="zh-CN" w:bidi="ar-SA"/>
          <w14:textFill>
            <w14:solidFill>
              <w14:schemeClr w14:val="tx1"/>
            </w14:solidFill>
          </w14:textFill>
        </w:rPr>
        <w:t>第十一条</w:t>
      </w:r>
      <w:r>
        <w:rPr>
          <w:rFonts w:hint="eastAsia" w:ascii="宋体" w:hAnsi="宋体" w:eastAsia="仿宋_GB2312" w:cs="仿宋"/>
          <w:b/>
          <w:bCs/>
          <w:color w:val="000000" w:themeColor="text1"/>
          <w:sz w:val="32"/>
          <w:szCs w:val="32"/>
          <w:lang w:val="en-US" w:eastAsia="zh-CN"/>
          <w14:textFill>
            <w14:solidFill>
              <w14:schemeClr w14:val="tx1"/>
            </w14:solidFill>
          </w14:textFill>
        </w:rPr>
        <w:t xml:space="preserve">  </w:t>
      </w: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对小型停车设施项目和利用自有土地建设的停车设施项目实行备案制，具体办法由市人民政府制定。</w:t>
      </w:r>
    </w:p>
    <w:p w14:paraId="4089994E">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黑体" w:cs="黑体"/>
          <w:b w:val="0"/>
          <w:bCs w:val="0"/>
          <w:color w:val="000000" w:themeColor="text1"/>
          <w:kern w:val="2"/>
          <w:sz w:val="32"/>
          <w:szCs w:val="32"/>
          <w:lang w:val="en-US" w:eastAsia="zh-CN" w:bidi="ar-SA"/>
          <w14:textFill>
            <w14:solidFill>
              <w14:schemeClr w14:val="tx1"/>
            </w14:solidFill>
          </w14:textFill>
        </w:rPr>
        <w:t>第十二条</w:t>
      </w:r>
      <w:r>
        <w:rPr>
          <w:rFonts w:hint="eastAsia" w:ascii="宋体" w:hAnsi="宋体" w:eastAsia="仿宋_GB2312" w:cs="仿宋"/>
          <w:b/>
          <w:bCs/>
          <w:color w:val="000000" w:themeColor="text1"/>
          <w:sz w:val="32"/>
          <w:szCs w:val="32"/>
          <w:lang w:val="en-US" w:eastAsia="zh-CN"/>
          <w14:textFill>
            <w14:solidFill>
              <w14:schemeClr w14:val="tx1"/>
            </w14:solidFill>
          </w14:textFill>
        </w:rPr>
        <w:t xml:space="preserve">  </w:t>
      </w: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市人民政府城市管理部门组织建立、完善全市统一的停车综合管理信息服务平台，收集、掌握全市机动车停车场信息，并向社会提供信息服务，实时公布停车场分布位置、泊位数量、使用状况和收费标准等信息。</w:t>
      </w:r>
    </w:p>
    <w:p w14:paraId="51123DA7">
      <w:pPr>
        <w:pStyle w:val="4"/>
        <w:keepNext w:val="0"/>
        <w:keepLines w:val="0"/>
        <w:pageBreakBefore w:val="0"/>
        <w:widowControl w:val="0"/>
        <w:kinsoku/>
        <w:wordWrap/>
        <w:overflowPunct w:val="0"/>
        <w:topLinePunct w:val="0"/>
        <w:autoSpaceDE/>
        <w:autoSpaceDN/>
        <w:bidi w:val="0"/>
        <w:spacing w:after="0" w:line="579" w:lineRule="exact"/>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县（市、区）人民政府城市管理部门负责停车综合管理信息服务平台中本行政区域相关模块的运行、管理。</w:t>
      </w:r>
    </w:p>
    <w:p w14:paraId="3016AF06">
      <w:pPr>
        <w:pStyle w:val="4"/>
        <w:keepNext w:val="0"/>
        <w:keepLines w:val="0"/>
        <w:pageBreakBefore w:val="0"/>
        <w:widowControl w:val="0"/>
        <w:kinsoku/>
        <w:wordWrap/>
        <w:overflowPunct w:val="0"/>
        <w:topLinePunct w:val="0"/>
        <w:autoSpaceDE/>
        <w:autoSpaceDN/>
        <w:bidi w:val="0"/>
        <w:spacing w:after="0" w:line="579" w:lineRule="exact"/>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引导鼓励向社会提供有偿服务的经营性停车场，按照城市管理部门的要求配合开放数据接口，向停车综合管理信息服务平台提供停车场及停车服务相关信息。</w:t>
      </w:r>
    </w:p>
    <w:p w14:paraId="037C7583">
      <w:pPr>
        <w:pStyle w:val="4"/>
        <w:keepNext w:val="0"/>
        <w:keepLines w:val="0"/>
        <w:pageBreakBefore w:val="0"/>
        <w:widowControl w:val="0"/>
        <w:kinsoku/>
        <w:wordWrap/>
        <w:overflowPunct w:val="0"/>
        <w:topLinePunct w:val="0"/>
        <w:autoSpaceDE/>
        <w:autoSpaceDN/>
        <w:bidi w:val="0"/>
        <w:spacing w:after="0" w:line="579" w:lineRule="exact"/>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黑体" w:cs="黑体"/>
          <w:b w:val="0"/>
          <w:bCs w:val="0"/>
          <w:color w:val="000000" w:themeColor="text1"/>
          <w:kern w:val="2"/>
          <w:sz w:val="32"/>
          <w:szCs w:val="32"/>
          <w:lang w:val="en-US" w:eastAsia="zh-CN" w:bidi="ar-SA"/>
          <w14:textFill>
            <w14:solidFill>
              <w14:schemeClr w14:val="tx1"/>
            </w14:solidFill>
          </w14:textFill>
        </w:rPr>
        <w:t>第十三条</w:t>
      </w:r>
      <w:r>
        <w:rPr>
          <w:rFonts w:hint="eastAsia" w:ascii="宋体" w:hAnsi="宋体" w:eastAsia="仿宋_GB2312" w:cs="仿宋"/>
          <w:b/>
          <w:bCs/>
          <w:color w:val="000000" w:themeColor="text1"/>
          <w:sz w:val="32"/>
          <w:szCs w:val="32"/>
          <w:lang w:val="en-US" w:eastAsia="zh-CN"/>
          <w14:textFill>
            <w14:solidFill>
              <w14:schemeClr w14:val="tx1"/>
            </w14:solidFill>
          </w14:textFill>
        </w:rPr>
        <w:t xml:space="preserve">  </w:t>
      </w: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向社会提供有偿服务的经营性停车场，经营主体应当遵守下列规定：</w:t>
      </w:r>
    </w:p>
    <w:p w14:paraId="699815B5">
      <w:pPr>
        <w:pStyle w:val="4"/>
        <w:keepNext w:val="0"/>
        <w:keepLines w:val="0"/>
        <w:pageBreakBefore w:val="0"/>
        <w:widowControl w:val="0"/>
        <w:kinsoku/>
        <w:wordWrap/>
        <w:overflowPunct w:val="0"/>
        <w:topLinePunct w:val="0"/>
        <w:autoSpaceDE/>
        <w:autoSpaceDN/>
        <w:bidi w:val="0"/>
        <w:spacing w:after="0" w:line="579" w:lineRule="exact"/>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（一）在停车场出入口显著位置设置公示牌，公示停车场名称、泊位数量、开放时间、定价方式、收费单位、收费依据、收费范围、收费标准、责任人和联系电话以及监督投诉电话等信息；</w:t>
      </w:r>
    </w:p>
    <w:p w14:paraId="0AC1E1DE">
      <w:pPr>
        <w:pStyle w:val="4"/>
        <w:keepNext w:val="0"/>
        <w:keepLines w:val="0"/>
        <w:pageBreakBefore w:val="0"/>
        <w:widowControl w:val="0"/>
        <w:kinsoku/>
        <w:wordWrap/>
        <w:overflowPunct w:val="0"/>
        <w:topLinePunct w:val="0"/>
        <w:autoSpaceDE/>
        <w:autoSpaceDN/>
        <w:bidi w:val="0"/>
        <w:spacing w:after="0" w:line="579" w:lineRule="exact"/>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 xml:space="preserve">（二）加强停车场环境卫生、地面维护保养等管理； </w:t>
      </w:r>
    </w:p>
    <w:p w14:paraId="1A66A17B">
      <w:pPr>
        <w:pStyle w:val="4"/>
        <w:keepNext w:val="0"/>
        <w:keepLines w:val="0"/>
        <w:pageBreakBefore w:val="0"/>
        <w:widowControl w:val="0"/>
        <w:kinsoku/>
        <w:wordWrap/>
        <w:overflowPunct w:val="0"/>
        <w:topLinePunct w:val="0"/>
        <w:autoSpaceDE/>
        <w:autoSpaceDN/>
        <w:bidi w:val="0"/>
        <w:spacing w:after="0" w:line="579" w:lineRule="exact"/>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（三）设置明显的车位标志、停泊方向标志、车辆进出引导标志，维护车辆停放和行驶秩序；</w:t>
      </w:r>
    </w:p>
    <w:p w14:paraId="4CE843A8">
      <w:pPr>
        <w:pStyle w:val="4"/>
        <w:keepNext w:val="0"/>
        <w:keepLines w:val="0"/>
        <w:pageBreakBefore w:val="0"/>
        <w:widowControl w:val="0"/>
        <w:kinsoku/>
        <w:wordWrap/>
        <w:overflowPunct w:val="0"/>
        <w:topLinePunct w:val="0"/>
        <w:autoSpaceDE/>
        <w:autoSpaceDN/>
        <w:bidi w:val="0"/>
        <w:spacing w:after="0" w:line="579" w:lineRule="exact"/>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（四）加强停车场安全管理，制定并落实突发事件应急预案，做好火警预警处置、防涝等安全防范工作；</w:t>
      </w:r>
    </w:p>
    <w:p w14:paraId="5AF05B98">
      <w:pPr>
        <w:pStyle w:val="4"/>
        <w:keepNext w:val="0"/>
        <w:keepLines w:val="0"/>
        <w:pageBreakBefore w:val="0"/>
        <w:widowControl w:val="0"/>
        <w:kinsoku/>
        <w:wordWrap/>
        <w:overflowPunct w:val="0"/>
        <w:topLinePunct w:val="0"/>
        <w:autoSpaceDE/>
        <w:autoSpaceDN/>
        <w:bidi w:val="0"/>
        <w:spacing w:after="0" w:line="579" w:lineRule="exact"/>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（五）按照公示的服务收费标准收费；</w:t>
      </w:r>
    </w:p>
    <w:p w14:paraId="316C7E54">
      <w:pPr>
        <w:pStyle w:val="4"/>
        <w:keepNext w:val="0"/>
        <w:keepLines w:val="0"/>
        <w:pageBreakBefore w:val="0"/>
        <w:widowControl w:val="0"/>
        <w:kinsoku/>
        <w:wordWrap/>
        <w:overflowPunct w:val="0"/>
        <w:topLinePunct w:val="0"/>
        <w:autoSpaceDE/>
        <w:autoSpaceDN/>
        <w:bidi w:val="0"/>
        <w:spacing w:after="0" w:line="579" w:lineRule="exact"/>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（六）法律、法规规定的其他事项。</w:t>
      </w:r>
    </w:p>
    <w:p w14:paraId="62D8DCB0">
      <w:pPr>
        <w:pStyle w:val="4"/>
        <w:keepNext w:val="0"/>
        <w:keepLines w:val="0"/>
        <w:pageBreakBefore w:val="0"/>
        <w:widowControl w:val="0"/>
        <w:kinsoku/>
        <w:wordWrap/>
        <w:overflowPunct w:val="0"/>
        <w:topLinePunct w:val="0"/>
        <w:autoSpaceDE/>
        <w:autoSpaceDN/>
        <w:bidi w:val="0"/>
        <w:spacing w:after="0" w:line="579" w:lineRule="exact"/>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黑体" w:cs="黑体"/>
          <w:b w:val="0"/>
          <w:bCs w:val="0"/>
          <w:color w:val="000000" w:themeColor="text1"/>
          <w:kern w:val="2"/>
          <w:sz w:val="32"/>
          <w:szCs w:val="32"/>
          <w:lang w:val="en-US" w:eastAsia="zh-CN" w:bidi="ar-SA"/>
          <w14:textFill>
            <w14:solidFill>
              <w14:schemeClr w14:val="tx1"/>
            </w14:solidFill>
          </w14:textFill>
        </w:rPr>
        <w:t>第十四条</w:t>
      </w:r>
      <w:bookmarkStart w:id="2" w:name="tiao_39_kuan_1"/>
      <w:bookmarkEnd w:id="2"/>
      <w:r>
        <w:rPr>
          <w:rFonts w:hint="eastAsia" w:ascii="宋体" w:hAnsi="宋体" w:eastAsia="仿宋_GB2312" w:cs="仿宋"/>
          <w:color w:val="000000" w:themeColor="text1"/>
          <w:sz w:val="32"/>
          <w:szCs w:val="32"/>
          <w:lang w:val="en-US" w:eastAsia="zh-CN"/>
          <w14:textFill>
            <w14:solidFill>
              <w14:schemeClr w14:val="tx1"/>
            </w14:solidFill>
          </w14:textFill>
        </w:rPr>
        <w:t xml:space="preserve">  </w:t>
      </w: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机动车停车服务收费根据不同停车场的性质和类型，分别实行政府定价、政府指导价和市场调节价。</w:t>
      </w:r>
      <w:bookmarkStart w:id="3" w:name="tiao_39_kuan_2"/>
      <w:bookmarkEnd w:id="3"/>
    </w:p>
    <w:p w14:paraId="7143B674">
      <w:pPr>
        <w:pStyle w:val="4"/>
        <w:keepNext w:val="0"/>
        <w:keepLines w:val="0"/>
        <w:pageBreakBefore w:val="0"/>
        <w:widowControl w:val="0"/>
        <w:kinsoku/>
        <w:wordWrap/>
        <w:overflowPunct w:val="0"/>
        <w:topLinePunct w:val="0"/>
        <w:autoSpaceDE/>
        <w:autoSpaceDN/>
        <w:bidi w:val="0"/>
        <w:spacing w:after="0" w:line="579" w:lineRule="exact"/>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实行政府定价、政府指导价的停车收费标准，按照差别收费原则制定并向社会公布。</w:t>
      </w:r>
    </w:p>
    <w:p w14:paraId="5F0CBE8B">
      <w:pPr>
        <w:pStyle w:val="4"/>
        <w:keepNext w:val="0"/>
        <w:keepLines w:val="0"/>
        <w:pageBreakBefore w:val="0"/>
        <w:widowControl w:val="0"/>
        <w:kinsoku/>
        <w:wordWrap/>
        <w:overflowPunct w:val="0"/>
        <w:topLinePunct w:val="0"/>
        <w:autoSpaceDE/>
        <w:autoSpaceDN/>
        <w:bidi w:val="0"/>
        <w:spacing w:after="0" w:line="579" w:lineRule="exact"/>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bookmarkStart w:id="4" w:name="tiao_39_kuan_3"/>
      <w:bookmarkEnd w:id="4"/>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实行市场调节价的停车收费标准，由停车场经营主体遵循合法、公平和诚实信用原则自主制定。制定、调整停车收费标准，应当依法提前向社会公示。</w:t>
      </w:r>
      <w:bookmarkStart w:id="5" w:name="tiao_39_kuan_4"/>
      <w:bookmarkEnd w:id="5"/>
    </w:p>
    <w:p w14:paraId="1E5548B5">
      <w:pPr>
        <w:pStyle w:val="2"/>
        <w:keepNext w:val="0"/>
        <w:keepLines w:val="0"/>
        <w:pageBreakBefore w:val="0"/>
        <w:widowControl w:val="0"/>
        <w:kinsoku/>
        <w:wordWrap/>
        <w:overflowPunct w:val="0"/>
        <w:topLinePunct w:val="0"/>
        <w:autoSpaceDE/>
        <w:autoSpaceDN/>
        <w:bidi w:val="0"/>
        <w:spacing w:line="579" w:lineRule="exact"/>
        <w:ind w:firstLine="643"/>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黑体" w:cs="黑体"/>
          <w:b w:val="0"/>
          <w:bCs w:val="0"/>
          <w:color w:val="000000" w:themeColor="text1"/>
          <w:kern w:val="2"/>
          <w:sz w:val="32"/>
          <w:szCs w:val="32"/>
          <w:lang w:val="en-US" w:eastAsia="zh-CN" w:bidi="ar-SA"/>
          <w14:textFill>
            <w14:solidFill>
              <w14:schemeClr w14:val="tx1"/>
            </w14:solidFill>
          </w14:textFill>
        </w:rPr>
        <w:t>第十五条</w:t>
      </w:r>
      <w:r>
        <w:rPr>
          <w:rFonts w:hint="eastAsia" w:ascii="宋体" w:hAnsi="宋体" w:eastAsia="仿宋_GB2312" w:cs="仿宋"/>
          <w:color w:val="000000" w:themeColor="text1"/>
          <w:sz w:val="32"/>
          <w:szCs w:val="32"/>
          <w:lang w:val="en-US" w:eastAsia="zh-CN"/>
          <w14:textFill>
            <w14:solidFill>
              <w14:schemeClr w14:val="tx1"/>
            </w14:solidFill>
          </w14:textFill>
        </w:rPr>
        <w:t xml:space="preserve">  </w:t>
      </w: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 xml:space="preserve">实行政府定价或者政府指导价的停车场和道路临时停车泊位免费停车时间不低于三十分钟。实行市场调节价的停车场免费停车时间参照执行。    </w:t>
      </w:r>
    </w:p>
    <w:p w14:paraId="2555AC82">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依法设置的夜间道路临时停车</w:t>
      </w:r>
      <w:r>
        <w:rPr>
          <w:rFonts w:hint="eastAsia" w:ascii="宋体" w:hAnsi="宋体" w:eastAsia="仿宋_GB2312" w:cs="仿宋_GB2312"/>
          <w:color w:val="000000" w:themeColor="text1"/>
          <w:spacing w:val="0"/>
          <w:kern w:val="2"/>
          <w:sz w:val="32"/>
          <w:szCs w:val="32"/>
          <w:lang w:val="en" w:eastAsia="zh-CN" w:bidi="ar-SA"/>
          <w14:textFill>
            <w14:solidFill>
              <w14:schemeClr w14:val="tx1"/>
            </w14:solidFill>
          </w14:textFill>
        </w:rPr>
        <w:t>场所</w:t>
      </w: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，免收停车费。</w:t>
      </w:r>
    </w:p>
    <w:p w14:paraId="7CB4FC7F">
      <w:pPr>
        <w:pStyle w:val="4"/>
        <w:keepNext w:val="0"/>
        <w:keepLines w:val="0"/>
        <w:pageBreakBefore w:val="0"/>
        <w:widowControl w:val="0"/>
        <w:kinsoku/>
        <w:wordWrap/>
        <w:overflowPunct w:val="0"/>
        <w:topLinePunct w:val="0"/>
        <w:autoSpaceDE/>
        <w:autoSpaceDN/>
        <w:bidi w:val="0"/>
        <w:spacing w:after="0" w:line="579" w:lineRule="exact"/>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法律、法规规定应当减收、免收停车费的，从其规定。</w:t>
      </w:r>
    </w:p>
    <w:p w14:paraId="59AA617E">
      <w:pPr>
        <w:pStyle w:val="2"/>
        <w:keepNext w:val="0"/>
        <w:keepLines w:val="0"/>
        <w:pageBreakBefore w:val="0"/>
        <w:widowControl w:val="0"/>
        <w:kinsoku/>
        <w:wordWrap/>
        <w:overflowPunct w:val="0"/>
        <w:topLinePunct w:val="0"/>
        <w:autoSpaceDE/>
        <w:autoSpaceDN/>
        <w:bidi w:val="0"/>
        <w:spacing w:line="579" w:lineRule="exact"/>
        <w:ind w:firstLine="643"/>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黑体" w:cs="黑体"/>
          <w:b w:val="0"/>
          <w:bCs w:val="0"/>
          <w:color w:val="000000" w:themeColor="text1"/>
          <w:kern w:val="2"/>
          <w:sz w:val="32"/>
          <w:szCs w:val="32"/>
          <w:lang w:val="en-US" w:eastAsia="zh-CN" w:bidi="ar-SA"/>
          <w14:textFill>
            <w14:solidFill>
              <w14:schemeClr w14:val="tx1"/>
            </w14:solidFill>
          </w14:textFill>
        </w:rPr>
        <w:t>第十六条</w:t>
      </w:r>
      <w:r>
        <w:rPr>
          <w:rFonts w:hint="eastAsia" w:ascii="宋体" w:hAnsi="宋体" w:eastAsia="仿宋_GB2312" w:cs="仿宋"/>
          <w:color w:val="000000" w:themeColor="text1"/>
          <w:sz w:val="32"/>
          <w:szCs w:val="32"/>
          <w:lang w:val="en-US" w:eastAsia="zh-CN"/>
          <w14:textFill>
            <w14:solidFill>
              <w14:schemeClr w14:val="tx1"/>
            </w14:solidFill>
          </w14:textFill>
        </w:rPr>
        <w:t xml:space="preserve">  </w:t>
      </w: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机动车停放应当遵守下列规定：</w:t>
      </w:r>
    </w:p>
    <w:p w14:paraId="557715E0">
      <w:pPr>
        <w:pStyle w:val="2"/>
        <w:keepNext w:val="0"/>
        <w:keepLines w:val="0"/>
        <w:pageBreakBefore w:val="0"/>
        <w:widowControl w:val="0"/>
        <w:kinsoku/>
        <w:wordWrap/>
        <w:overflowPunct w:val="0"/>
        <w:topLinePunct w:val="0"/>
        <w:autoSpaceDE/>
        <w:autoSpaceDN/>
        <w:bidi w:val="0"/>
        <w:spacing w:line="579" w:lineRule="exact"/>
        <w:ind w:firstLine="643"/>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（一）在规定的停车泊位或者区域内，按照规定的停车方向、时段、准停车型停放车辆；</w:t>
      </w:r>
    </w:p>
    <w:p w14:paraId="7F20801A">
      <w:pPr>
        <w:pStyle w:val="2"/>
        <w:keepNext w:val="0"/>
        <w:keepLines w:val="0"/>
        <w:pageBreakBefore w:val="0"/>
        <w:widowControl w:val="0"/>
        <w:kinsoku/>
        <w:wordWrap/>
        <w:overflowPunct w:val="0"/>
        <w:topLinePunct w:val="0"/>
        <w:autoSpaceDE/>
        <w:autoSpaceDN/>
        <w:bidi w:val="0"/>
        <w:spacing w:line="579" w:lineRule="exact"/>
        <w:ind w:firstLine="643"/>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（二）遵守停车场管理制度，服从管理人员指挥；</w:t>
      </w:r>
    </w:p>
    <w:p w14:paraId="653498DA">
      <w:pPr>
        <w:pStyle w:val="2"/>
        <w:keepNext w:val="0"/>
        <w:keepLines w:val="0"/>
        <w:pageBreakBefore w:val="0"/>
        <w:widowControl w:val="0"/>
        <w:kinsoku/>
        <w:wordWrap/>
        <w:overflowPunct w:val="0"/>
        <w:topLinePunct w:val="0"/>
        <w:autoSpaceDE/>
        <w:autoSpaceDN/>
        <w:bidi w:val="0"/>
        <w:spacing w:line="579" w:lineRule="exact"/>
        <w:ind w:firstLine="643"/>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（三）不得无故占用无障碍停车泊位和新能源汽车充电专用停车位；</w:t>
      </w:r>
    </w:p>
    <w:p w14:paraId="579C7891">
      <w:pPr>
        <w:pStyle w:val="2"/>
        <w:keepNext w:val="0"/>
        <w:keepLines w:val="0"/>
        <w:pageBreakBefore w:val="0"/>
        <w:widowControl w:val="0"/>
        <w:kinsoku/>
        <w:wordWrap/>
        <w:overflowPunct w:val="0"/>
        <w:topLinePunct w:val="0"/>
        <w:autoSpaceDE/>
        <w:autoSpaceDN/>
        <w:bidi w:val="0"/>
        <w:spacing w:line="579" w:lineRule="exact"/>
        <w:ind w:firstLine="643"/>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（四）因交通管制、突发事件处置、应急抢险等特殊情况需要即时驶离的，应当立即驶离；</w:t>
      </w:r>
    </w:p>
    <w:p w14:paraId="39CE4185">
      <w:pPr>
        <w:pStyle w:val="2"/>
        <w:keepNext w:val="0"/>
        <w:keepLines w:val="0"/>
        <w:pageBreakBefore w:val="0"/>
        <w:widowControl w:val="0"/>
        <w:kinsoku/>
        <w:wordWrap/>
        <w:overflowPunct w:val="0"/>
        <w:topLinePunct w:val="0"/>
        <w:autoSpaceDE/>
        <w:autoSpaceDN/>
        <w:bidi w:val="0"/>
        <w:spacing w:line="579" w:lineRule="exact"/>
        <w:ind w:firstLine="643"/>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（五）按照规定缴纳停车服务费用；</w:t>
      </w:r>
    </w:p>
    <w:p w14:paraId="15724E19">
      <w:pPr>
        <w:pStyle w:val="2"/>
        <w:keepNext w:val="0"/>
        <w:keepLines w:val="0"/>
        <w:pageBreakBefore w:val="0"/>
        <w:widowControl w:val="0"/>
        <w:kinsoku/>
        <w:wordWrap/>
        <w:overflowPunct w:val="0"/>
        <w:topLinePunct w:val="0"/>
        <w:autoSpaceDE/>
        <w:autoSpaceDN/>
        <w:bidi w:val="0"/>
        <w:spacing w:line="579" w:lineRule="exact"/>
        <w:ind w:firstLine="643"/>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（六）不得占用消防通道、安全出口停车，妨碍其他车辆、行人正常通行；</w:t>
      </w:r>
    </w:p>
    <w:p w14:paraId="6081FAD3">
      <w:pPr>
        <w:pStyle w:val="2"/>
        <w:keepNext w:val="0"/>
        <w:keepLines w:val="0"/>
        <w:pageBreakBefore w:val="0"/>
        <w:widowControl w:val="0"/>
        <w:kinsoku/>
        <w:wordWrap/>
        <w:overflowPunct w:val="0"/>
        <w:topLinePunct w:val="0"/>
        <w:autoSpaceDE/>
        <w:autoSpaceDN/>
        <w:bidi w:val="0"/>
        <w:spacing w:line="579" w:lineRule="exact"/>
        <w:ind w:firstLine="643"/>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（七）法律、法规规定的其他情形。</w:t>
      </w:r>
    </w:p>
    <w:p w14:paraId="4BE93B1A">
      <w:pPr>
        <w:pStyle w:val="2"/>
        <w:keepNext w:val="0"/>
        <w:keepLines w:val="0"/>
        <w:pageBreakBefore w:val="0"/>
        <w:widowControl w:val="0"/>
        <w:kinsoku/>
        <w:wordWrap/>
        <w:overflowPunct w:val="0"/>
        <w:topLinePunct w:val="0"/>
        <w:autoSpaceDE/>
        <w:autoSpaceDN/>
        <w:bidi w:val="0"/>
        <w:spacing w:line="579" w:lineRule="exact"/>
        <w:ind w:firstLine="643"/>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违反前款规定的，由停车场管理者予以劝导；对不听劝导的，可以要求立即驶离或者拒绝提供停车服务。无正当理由拒不缴纳或者逃避缴纳停车费的，停车场经营者可以依法向其催缴。违反道路交通、消防等法律、法规规定的，由相关部门依法处理。</w:t>
      </w:r>
    </w:p>
    <w:p w14:paraId="07B58AA0">
      <w:pPr>
        <w:pStyle w:val="2"/>
        <w:keepNext w:val="0"/>
        <w:keepLines w:val="0"/>
        <w:pageBreakBefore w:val="0"/>
        <w:widowControl w:val="0"/>
        <w:kinsoku/>
        <w:wordWrap/>
        <w:overflowPunct w:val="0"/>
        <w:topLinePunct w:val="0"/>
        <w:autoSpaceDE/>
        <w:autoSpaceDN/>
        <w:bidi w:val="0"/>
        <w:spacing w:line="579" w:lineRule="exact"/>
        <w:ind w:firstLine="643"/>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黑体" w:cs="黑体"/>
          <w:b w:val="0"/>
          <w:bCs w:val="0"/>
          <w:color w:val="000000" w:themeColor="text1"/>
          <w:kern w:val="2"/>
          <w:sz w:val="32"/>
          <w:szCs w:val="32"/>
          <w:lang w:val="en-US" w:eastAsia="zh-CN" w:bidi="ar-SA"/>
          <w14:textFill>
            <w14:solidFill>
              <w14:schemeClr w14:val="tx1"/>
            </w14:solidFill>
          </w14:textFill>
        </w:rPr>
        <w:t>第十七条</w:t>
      </w:r>
      <w:r>
        <w:rPr>
          <w:rFonts w:hint="eastAsia" w:ascii="宋体" w:hAnsi="宋体" w:eastAsia="仿宋_GB2312" w:cs="仿宋"/>
          <w:color w:val="000000" w:themeColor="text1"/>
          <w:sz w:val="32"/>
          <w:szCs w:val="32"/>
          <w:lang w:val="en-US" w:eastAsia="zh-CN"/>
          <w14:textFill>
            <w14:solidFill>
              <w14:schemeClr w14:val="tx1"/>
            </w14:solidFill>
          </w14:textFill>
        </w:rPr>
        <w:t xml:space="preserve">  </w:t>
      </w: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任何单位和个人不得有下列行为：</w:t>
      </w:r>
    </w:p>
    <w:p w14:paraId="4CE2D4AC">
      <w:pPr>
        <w:pStyle w:val="2"/>
        <w:keepNext w:val="0"/>
        <w:keepLines w:val="0"/>
        <w:pageBreakBefore w:val="0"/>
        <w:widowControl w:val="0"/>
        <w:kinsoku/>
        <w:wordWrap/>
        <w:overflowPunct w:val="0"/>
        <w:topLinePunct w:val="0"/>
        <w:autoSpaceDE/>
        <w:autoSpaceDN/>
        <w:bidi w:val="0"/>
        <w:spacing w:line="579" w:lineRule="exact"/>
        <w:ind w:firstLine="643"/>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（一）擅自在公共停车场、道路临时停车泊位设置地桩、地锁、石墩等固定或者可移动障碍物；</w:t>
      </w:r>
    </w:p>
    <w:p w14:paraId="69E0A578">
      <w:pPr>
        <w:pStyle w:val="2"/>
        <w:keepNext w:val="0"/>
        <w:keepLines w:val="0"/>
        <w:pageBreakBefore w:val="0"/>
        <w:widowControl w:val="0"/>
        <w:kinsoku/>
        <w:wordWrap/>
        <w:overflowPunct w:val="0"/>
        <w:topLinePunct w:val="0"/>
        <w:autoSpaceDE/>
        <w:autoSpaceDN/>
        <w:bidi w:val="0"/>
        <w:spacing w:line="579" w:lineRule="exact"/>
        <w:ind w:firstLine="643"/>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（二）擅自占用无专属使用权的停车泊位从事车辆销售、租赁、维修、清洗等经营活动；</w:t>
      </w:r>
    </w:p>
    <w:p w14:paraId="03A3B052">
      <w:pPr>
        <w:pStyle w:val="2"/>
        <w:keepNext w:val="0"/>
        <w:keepLines w:val="0"/>
        <w:pageBreakBefore w:val="0"/>
        <w:widowControl w:val="0"/>
        <w:kinsoku/>
        <w:wordWrap/>
        <w:overflowPunct w:val="0"/>
        <w:topLinePunct w:val="0"/>
        <w:autoSpaceDE/>
        <w:autoSpaceDN/>
        <w:bidi w:val="0"/>
        <w:spacing w:line="579" w:lineRule="exact"/>
        <w:ind w:firstLine="643"/>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（三）擅自占用人行道、公共场地设置停车场；</w:t>
      </w:r>
    </w:p>
    <w:p w14:paraId="66E2499C">
      <w:pPr>
        <w:pStyle w:val="2"/>
        <w:keepNext w:val="0"/>
        <w:keepLines w:val="0"/>
        <w:pageBreakBefore w:val="0"/>
        <w:widowControl w:val="0"/>
        <w:kinsoku/>
        <w:wordWrap/>
        <w:overflowPunct w:val="0"/>
        <w:topLinePunct w:val="0"/>
        <w:autoSpaceDE/>
        <w:autoSpaceDN/>
        <w:bidi w:val="0"/>
        <w:spacing w:line="579" w:lineRule="exact"/>
        <w:ind w:firstLine="643"/>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（四）擅自改变独立建设、建筑物配建的停车场用途，或者擅自停止独立建设、建筑物配建的停车场使用；</w:t>
      </w:r>
    </w:p>
    <w:p w14:paraId="06775EB3">
      <w:pPr>
        <w:pStyle w:val="2"/>
        <w:keepNext w:val="0"/>
        <w:keepLines w:val="0"/>
        <w:pageBreakBefore w:val="0"/>
        <w:widowControl w:val="0"/>
        <w:kinsoku/>
        <w:wordWrap/>
        <w:overflowPunct w:val="0"/>
        <w:topLinePunct w:val="0"/>
        <w:autoSpaceDE/>
        <w:autoSpaceDN/>
        <w:bidi w:val="0"/>
        <w:spacing w:line="579" w:lineRule="exact"/>
        <w:ind w:firstLine="643"/>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（五）损坏公共停车场、道路临时停车泊位的停车设备、设施；</w:t>
      </w:r>
    </w:p>
    <w:p w14:paraId="146BA5C5">
      <w:pPr>
        <w:pStyle w:val="2"/>
        <w:keepNext w:val="0"/>
        <w:keepLines w:val="0"/>
        <w:pageBreakBefore w:val="0"/>
        <w:widowControl w:val="0"/>
        <w:kinsoku/>
        <w:wordWrap/>
        <w:overflowPunct w:val="0"/>
        <w:topLinePunct w:val="0"/>
        <w:autoSpaceDE/>
        <w:autoSpaceDN/>
        <w:bidi w:val="0"/>
        <w:spacing w:line="579" w:lineRule="exact"/>
        <w:ind w:firstLine="643"/>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（六）法律、法规规定的其他行为。</w:t>
      </w:r>
    </w:p>
    <w:p w14:paraId="4A050F1D">
      <w:pPr>
        <w:pStyle w:val="2"/>
        <w:keepNext w:val="0"/>
        <w:keepLines w:val="0"/>
        <w:pageBreakBefore w:val="0"/>
        <w:widowControl w:val="0"/>
        <w:kinsoku/>
        <w:wordWrap/>
        <w:overflowPunct w:val="0"/>
        <w:topLinePunct w:val="0"/>
        <w:autoSpaceDE/>
        <w:autoSpaceDN/>
        <w:bidi w:val="0"/>
        <w:spacing w:line="579" w:lineRule="exact"/>
        <w:ind w:firstLine="643"/>
        <w:textAlignment w:val="auto"/>
        <w:rPr>
          <w:rFonts w:hint="eastAsia" w:ascii="宋体" w:hAnsi="宋体" w:eastAsia="仿宋_GB2312" w:cs="仿宋_GB2312"/>
          <w:color w:val="000000" w:themeColor="text1"/>
          <w:kern w:val="0"/>
          <w:sz w:val="32"/>
          <w:szCs w:val="32"/>
          <w:shd w:val="clear" w:color="auto" w:fill="auto"/>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违反前款第一项至第三项规定的，由城市管理部门责令限期改正；</w:t>
      </w:r>
      <w:r>
        <w:rPr>
          <w:rFonts w:hint="eastAsia" w:ascii="宋体" w:hAnsi="宋体" w:eastAsia="仿宋_GB2312" w:cs="仿宋_GB2312"/>
          <w:color w:val="000000" w:themeColor="text1"/>
          <w:kern w:val="0"/>
          <w:sz w:val="32"/>
          <w:szCs w:val="32"/>
          <w:shd w:val="clear" w:color="auto" w:fill="auto"/>
          <w:lang w:val="en-US" w:eastAsia="zh-CN" w:bidi="ar-SA"/>
          <w14:textFill>
            <w14:solidFill>
              <w14:schemeClr w14:val="tx1"/>
            </w14:solidFill>
          </w14:textFill>
        </w:rPr>
        <w:t>逾期未改正的，处五百元以上一千元以下罚款，有违法所得的，没收违法所得。</w:t>
      </w:r>
    </w:p>
    <w:p w14:paraId="05EB3E24">
      <w:pPr>
        <w:pStyle w:val="2"/>
        <w:keepNext w:val="0"/>
        <w:keepLines w:val="0"/>
        <w:pageBreakBefore w:val="0"/>
        <w:widowControl w:val="0"/>
        <w:kinsoku/>
        <w:wordWrap/>
        <w:overflowPunct w:val="0"/>
        <w:topLinePunct w:val="0"/>
        <w:autoSpaceDE/>
        <w:autoSpaceDN/>
        <w:bidi w:val="0"/>
        <w:spacing w:line="579" w:lineRule="exact"/>
        <w:ind w:firstLine="643"/>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黑体" w:cs="黑体"/>
          <w:b w:val="0"/>
          <w:bCs w:val="0"/>
          <w:color w:val="000000" w:themeColor="text1"/>
          <w:kern w:val="2"/>
          <w:sz w:val="32"/>
          <w:szCs w:val="32"/>
          <w:lang w:val="en-US" w:eastAsia="zh-CN" w:bidi="ar-SA"/>
          <w14:textFill>
            <w14:solidFill>
              <w14:schemeClr w14:val="tx1"/>
            </w14:solidFill>
          </w14:textFill>
        </w:rPr>
        <w:t>第十八条</w:t>
      </w:r>
      <w:r>
        <w:rPr>
          <w:rFonts w:hint="eastAsia" w:ascii="宋体" w:hAnsi="宋体" w:eastAsia="仿宋_GB2312" w:cs="仿宋"/>
          <w:color w:val="000000" w:themeColor="text1"/>
          <w:sz w:val="32"/>
          <w:szCs w:val="32"/>
          <w:lang w:val="en-US" w:eastAsia="zh-CN"/>
          <w14:textFill>
            <w14:solidFill>
              <w14:schemeClr w14:val="tx1"/>
            </w14:solidFill>
          </w14:textFill>
        </w:rPr>
        <w:t xml:space="preserve">  </w:t>
      </w: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任何单位和个人不得将废弃机动车在城市道路、广场、公共停车场等公共场所停放。在城市道路范围内违法违规停放的废弃机动车，由公安机关交通管理部门依法处理；在城市道路临时停车泊位内以及城市道路范围外的其他公共场所停放、影响市容环境的废弃机动车，由城市管理部门依法处理。</w:t>
      </w:r>
    </w:p>
    <w:p w14:paraId="7E89219E">
      <w:pPr>
        <w:pStyle w:val="2"/>
        <w:keepNext w:val="0"/>
        <w:keepLines w:val="0"/>
        <w:pageBreakBefore w:val="0"/>
        <w:widowControl w:val="0"/>
        <w:kinsoku/>
        <w:wordWrap/>
        <w:overflowPunct w:val="0"/>
        <w:topLinePunct w:val="0"/>
        <w:autoSpaceDE/>
        <w:autoSpaceDN/>
        <w:bidi w:val="0"/>
        <w:spacing w:line="579" w:lineRule="exact"/>
        <w:ind w:firstLine="643"/>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机动车所有人将废弃机动车在专用停车场和居住区等场所的非专有位置长期停放、不自行清理的，上述场所的经营主体或者管理者有权依照约定或者法律、法规的规定进行处理。</w:t>
      </w:r>
    </w:p>
    <w:p w14:paraId="457EBA31">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宋体" w:hAnsi="宋体" w:eastAsia="黑体" w:cs="黑体"/>
          <w:b w:val="0"/>
          <w:bCs w:val="0"/>
          <w:color w:val="000000" w:themeColor="text1"/>
          <w:kern w:val="2"/>
          <w:sz w:val="32"/>
          <w:szCs w:val="32"/>
          <w:lang w:val="en-US" w:eastAsia="zh-CN" w:bidi="ar-SA"/>
          <w14:textFill>
            <w14:solidFill>
              <w14:schemeClr w14:val="tx1"/>
            </w14:solidFill>
          </w14:textFill>
        </w:rPr>
        <w:t>第十九条</w:t>
      </w:r>
      <w:r>
        <w:rPr>
          <w:rFonts w:hint="eastAsia" w:ascii="宋体" w:hAnsi="宋体" w:eastAsia="仿宋_GB2312" w:cs="仿宋"/>
          <w:color w:val="000000" w:themeColor="text1"/>
          <w:sz w:val="32"/>
          <w:szCs w:val="32"/>
          <w:lang w:val="en-US" w:eastAsia="zh-CN"/>
          <w14:textFill>
            <w14:solidFill>
              <w14:schemeClr w14:val="tx1"/>
            </w14:solidFill>
          </w14:textFill>
        </w:rPr>
        <w:t xml:space="preserve">  </w:t>
      </w:r>
      <w:r>
        <w:rPr>
          <w:rFonts w:hint="eastAsia" w:ascii="宋体" w:hAnsi="宋体" w:eastAsia="仿宋_GB2312" w:cs="仿宋_GB2312"/>
          <w:color w:val="000000" w:themeColor="text1"/>
          <w:spacing w:val="0"/>
          <w:kern w:val="2"/>
          <w:sz w:val="32"/>
          <w:szCs w:val="32"/>
          <w:lang w:val="en-US" w:eastAsia="zh-CN" w:bidi="ar-SA"/>
          <w14:textFill>
            <w14:solidFill>
              <w14:schemeClr w14:val="tx1"/>
            </w14:solidFill>
          </w14:textFill>
        </w:rPr>
        <w:t>违反本条例规定的其他行为，法律、法规已有处罚规定的，适用其规定。</w:t>
      </w:r>
    </w:p>
    <w:p w14:paraId="0ED36675">
      <w:pPr>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宋体" w:hAnsi="宋体"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宋体" w:hAnsi="宋体" w:eastAsia="黑体" w:cs="黑体"/>
          <w:b w:val="0"/>
          <w:bCs w:val="0"/>
          <w:color w:val="000000" w:themeColor="text1"/>
          <w:kern w:val="2"/>
          <w:sz w:val="32"/>
          <w:szCs w:val="32"/>
          <w:lang w:val="en-US" w:eastAsia="zh-CN" w:bidi="ar-SA"/>
          <w14:textFill>
            <w14:solidFill>
              <w14:schemeClr w14:val="tx1"/>
            </w14:solidFill>
          </w14:textFill>
        </w:rPr>
        <w:t>第二十条</w:t>
      </w:r>
      <w:r>
        <w:rPr>
          <w:rFonts w:hint="eastAsia" w:ascii="宋体" w:hAnsi="宋体" w:eastAsia="仿宋_GB2312" w:cs="仿宋"/>
          <w:color w:val="000000" w:themeColor="text1"/>
          <w:sz w:val="32"/>
          <w:szCs w:val="32"/>
          <w:lang w:val="en-US" w:eastAsia="zh-CN"/>
          <w14:textFill>
            <w14:solidFill>
              <w14:schemeClr w14:val="tx1"/>
            </w14:solidFill>
          </w14:textFill>
        </w:rPr>
        <w:t xml:space="preserve">  </w:t>
      </w:r>
      <w:r>
        <w:rPr>
          <w:rFonts w:hint="eastAsia" w:ascii="宋体" w:hAnsi="宋体" w:eastAsia="仿宋_GB2312" w:cs="仿宋_GB2312"/>
          <w:color w:val="000000" w:themeColor="text1"/>
          <w:sz w:val="32"/>
          <w:szCs w:val="32"/>
          <w:shd w:val="clear" w:color="auto" w:fill="auto"/>
          <w:lang w:val="en-US" w:eastAsia="zh-CN"/>
          <w14:textFill>
            <w14:solidFill>
              <w14:schemeClr w14:val="tx1"/>
            </w14:solidFill>
          </w14:textFill>
        </w:rPr>
        <w:t>本条例自2025年1月1日起施行。</w:t>
      </w:r>
    </w:p>
    <w:p w14:paraId="79F4AB31">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EDC4A5-FA4A-4CE0-A9B1-22FE05C59C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71A885F-1E97-4179-B5B5-878272BA7654}"/>
  </w:font>
  <w:font w:name="仿宋_GB2312">
    <w:altName w:val="仿宋"/>
    <w:panose1 w:val="02010609030101010101"/>
    <w:charset w:val="86"/>
    <w:family w:val="modern"/>
    <w:pitch w:val="default"/>
    <w:sig w:usb0="00000000" w:usb1="00000000" w:usb2="00000000" w:usb3="00000000" w:csb0="00040000" w:csb1="00000000"/>
    <w:embedRegular r:id="rId3" w:fontKey="{D744E17D-E5A1-4BA4-93A6-C83D29309BE7}"/>
  </w:font>
  <w:font w:name="方正小标宋_GBK">
    <w:panose1 w:val="02000000000000000000"/>
    <w:charset w:val="86"/>
    <w:family w:val="auto"/>
    <w:pitch w:val="default"/>
    <w:sig w:usb0="A00002BF" w:usb1="38CF7CFA" w:usb2="00082016" w:usb3="00000000" w:csb0="00040001" w:csb1="00000000"/>
    <w:embedRegular r:id="rId4" w:fontKey="{70AE950C-5A76-4D00-90F8-2D74D7AD3091}"/>
  </w:font>
  <w:font w:name="楷体_GB2312">
    <w:altName w:val="楷体"/>
    <w:panose1 w:val="02010609030101010101"/>
    <w:charset w:val="86"/>
    <w:family w:val="modern"/>
    <w:pitch w:val="default"/>
    <w:sig w:usb0="00000000" w:usb1="00000000" w:usb2="00000000" w:usb3="00000000" w:csb0="00040000" w:csb1="00000000"/>
    <w:embedRegular r:id="rId5" w:fontKey="{36900A14-83C0-4BE4-8E4B-ECBF457D97A6}"/>
  </w:font>
  <w:font w:name="仿宋">
    <w:panose1 w:val="02010609060101010101"/>
    <w:charset w:val="86"/>
    <w:family w:val="auto"/>
    <w:pitch w:val="default"/>
    <w:sig w:usb0="800002BF" w:usb1="38CF7CFA" w:usb2="00000016" w:usb3="00000000" w:csb0="00040001" w:csb1="00000000"/>
    <w:embedRegular r:id="rId6" w:fontKey="{A582D3FE-8367-4712-96F8-4A7A44BDE109}"/>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BB6ADE"/>
    <w:rsid w:val="40BB6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ind w:firstLine="420" w:firstLineChars="200"/>
      <w:jc w:val="both"/>
    </w:pPr>
    <w:rPr>
      <w:rFonts w:ascii="Calibri" w:hAnsi="Calibri" w:eastAsia="宋体" w:cs="Times New Roman"/>
      <w:kern w:val="2"/>
      <w:sz w:val="32"/>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2"/>
    <w:unhideWhenUsed/>
    <w:qFormat/>
    <w:uiPriority w:val="99"/>
    <w:pPr>
      <w:widowControl w:val="0"/>
      <w:spacing w:after="0" w:line="560" w:lineRule="exact"/>
      <w:ind w:left="0" w:leftChars="0" w:firstLine="640" w:firstLineChars="200"/>
      <w:jc w:val="both"/>
    </w:pPr>
    <w:rPr>
      <w:rFonts w:ascii="仿宋_GB2312" w:hAnsi="Calibri"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2024-11-19T07:44:00Z</dcterms:created>
  <dc:creator>WPS_1364353955</dc:creator>
  <cp:lastModifiedBy>WPS_1364353955</cp:lastModifiedBy>
  <dcterms:modified xsi:type="dcterms:W3CDTF">2024-11-19T07:44:48Z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27B84BC6A8D3497A89BA2F37288CDE2B_11</vt:lpwstr>
  </property>
</Properties>
</file>