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pPr>
      <w:r>
        <w:rPr>
          <w:rFonts w:ascii="仿宋_GB2312" w:hAnsi="Calibri" w:eastAsia="仿宋_GB2312" w:cs="仿宋_GB2312"/>
          <w:i w:val="0"/>
          <w:iCs w:val="0"/>
          <w:caps w:val="0"/>
          <w:snapToGrid w:val="0"/>
          <w:color w:val="333333"/>
          <w:spacing w:val="0"/>
          <w:kern w:val="0"/>
          <w:sz w:val="32"/>
          <w:szCs w:val="32"/>
          <w:shd w:val="clear" w:fill="FFFFFF"/>
          <w:lang w:val="en-US" w:eastAsia="zh-CN" w:bidi="ar"/>
        </w:rPr>
        <w:t>赣市府办发〔</w:t>
      </w:r>
      <w:r>
        <w:rPr>
          <w:rFonts w:hint="eastAsia" w:ascii="宋体" w:hAnsi="宋体" w:eastAsia="宋体" w:cs="宋体"/>
          <w:i w:val="0"/>
          <w:iCs w:val="0"/>
          <w:caps w:val="0"/>
          <w:snapToGrid w:val="0"/>
          <w:color w:val="333333"/>
          <w:spacing w:val="0"/>
          <w:kern w:val="0"/>
          <w:sz w:val="32"/>
          <w:szCs w:val="32"/>
          <w:shd w:val="clear" w:fill="FFFFFF"/>
          <w:lang w:val="en-US" w:eastAsia="zh-CN" w:bidi="ar"/>
        </w:rPr>
        <w:t>2023</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w:t>
      </w:r>
      <w:r>
        <w:rPr>
          <w:rFonts w:hint="eastAsia" w:ascii="宋体" w:hAnsi="宋体" w:eastAsia="宋体" w:cs="宋体"/>
          <w:i w:val="0"/>
          <w:iCs w:val="0"/>
          <w:caps w:val="0"/>
          <w:snapToGrid w:val="0"/>
          <w:color w:val="333333"/>
          <w:spacing w:val="0"/>
          <w:kern w:val="0"/>
          <w:sz w:val="32"/>
          <w:szCs w:val="32"/>
          <w:shd w:val="clear" w:fill="FFFFFF"/>
          <w:lang w:val="en-US" w:eastAsia="zh-CN" w:bidi="ar"/>
        </w:rPr>
        <w:t>5</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方正小标宋简体" w:hAnsi="方正小标宋简体" w:eastAsia="方正小标宋简体" w:cs="方正小标宋简体"/>
          <w:i w:val="0"/>
          <w:iCs w:val="0"/>
          <w:caps w:val="0"/>
          <w:color w:val="333333"/>
          <w:spacing w:val="0"/>
          <w:sz w:val="21"/>
          <w:szCs w:val="21"/>
        </w:rPr>
      </w:pPr>
      <w:r>
        <w:rPr>
          <w:rFonts w:hint="eastAsia" w:ascii="方正小标宋简体" w:hAnsi="方正小标宋简体" w:eastAsia="方正小标宋简体" w:cs="方正小标宋简体"/>
          <w:i w:val="0"/>
          <w:iCs w:val="0"/>
          <w:caps w:val="0"/>
          <w:snapToGrid w:val="0"/>
          <w:color w:val="333333"/>
          <w:spacing w:val="0"/>
          <w:kern w:val="0"/>
          <w:sz w:val="44"/>
          <w:szCs w:val="44"/>
          <w:shd w:val="clear" w:fill="FFFFFF"/>
          <w:lang w:val="en-US" w:eastAsia="zh-CN" w:bidi="ar"/>
        </w:rPr>
        <w:t>赣州市人民政府办公室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方正小标宋简体" w:hAnsi="方正小标宋简体" w:eastAsia="方正小标宋简体" w:cs="方正小标宋简体"/>
          <w:i w:val="0"/>
          <w:iCs w:val="0"/>
          <w:caps w:val="0"/>
          <w:color w:val="333333"/>
          <w:spacing w:val="0"/>
          <w:sz w:val="21"/>
          <w:szCs w:val="21"/>
        </w:rPr>
      </w:pPr>
      <w:r>
        <w:rPr>
          <w:rFonts w:hint="eastAsia" w:ascii="方正小标宋简体" w:hAnsi="方正小标宋简体" w:eastAsia="方正小标宋简体" w:cs="方正小标宋简体"/>
          <w:i w:val="0"/>
          <w:iCs w:val="0"/>
          <w:caps w:val="0"/>
          <w:snapToGrid w:val="0"/>
          <w:color w:val="333333"/>
          <w:spacing w:val="11"/>
          <w:kern w:val="0"/>
          <w:sz w:val="44"/>
          <w:szCs w:val="44"/>
          <w:shd w:val="clear" w:fill="FFFFFF"/>
          <w:lang w:val="en-US" w:eastAsia="zh-CN" w:bidi="ar"/>
        </w:rPr>
        <w:t>印发关于推进私募股权投资基金业</w:t>
      </w:r>
      <w:r>
        <w:rPr>
          <w:rFonts w:hint="eastAsia" w:ascii="方正小标宋简体" w:hAnsi="方正小标宋简体" w:eastAsia="方正小标宋简体" w:cs="方正小标宋简体"/>
          <w:i w:val="0"/>
          <w:iCs w:val="0"/>
          <w:caps w:val="0"/>
          <w:snapToGrid w:val="0"/>
          <w:color w:val="333333"/>
          <w:spacing w:val="0"/>
          <w:kern w:val="0"/>
          <w:sz w:val="44"/>
          <w:szCs w:val="44"/>
          <w:shd w:val="clear" w:fill="FFFFFF"/>
          <w:lang w:val="en-US" w:eastAsia="zh-CN" w:bidi="ar"/>
        </w:rPr>
        <w:t>高质量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方正小标宋简体" w:hAnsi="方正小标宋简体" w:eastAsia="方正小标宋简体" w:cs="方正小标宋简体"/>
          <w:i w:val="0"/>
          <w:iCs w:val="0"/>
          <w:caps w:val="0"/>
          <w:color w:val="333333"/>
          <w:spacing w:val="0"/>
          <w:sz w:val="21"/>
          <w:szCs w:val="21"/>
        </w:rPr>
      </w:pPr>
      <w:r>
        <w:rPr>
          <w:rFonts w:hint="eastAsia" w:ascii="方正小标宋简体" w:hAnsi="方正小标宋简体" w:eastAsia="方正小标宋简体" w:cs="方正小标宋简体"/>
          <w:i w:val="0"/>
          <w:iCs w:val="0"/>
          <w:caps w:val="0"/>
          <w:snapToGrid w:val="0"/>
          <w:color w:val="333333"/>
          <w:spacing w:val="0"/>
          <w:kern w:val="0"/>
          <w:sz w:val="44"/>
          <w:szCs w:val="44"/>
          <w:shd w:val="clear" w:fill="FFFFFF"/>
          <w:lang w:val="en-US" w:eastAsia="zh-CN" w:bidi="ar"/>
        </w:rPr>
        <w:t>发展若干措施的通知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default" w:ascii="Calibri" w:hAnsi="Calibri" w:cs="Calibri"/>
          <w:i w:val="0"/>
          <w:iCs w:val="0"/>
          <w:caps w:val="0"/>
          <w:color w:val="333333"/>
          <w:spacing w:val="0"/>
          <w:sz w:val="21"/>
          <w:szCs w:val="21"/>
        </w:rPr>
      </w:pP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各县</w:t>
      </w:r>
      <w:r>
        <w:rPr>
          <w:rFonts w:hint="eastAsia" w:ascii="宋体" w:hAnsi="宋体" w:eastAsia="宋体" w:cs="宋体"/>
          <w:i w:val="0"/>
          <w:iCs w:val="0"/>
          <w:caps w:val="0"/>
          <w:snapToGrid w:val="0"/>
          <w:color w:val="333333"/>
          <w:spacing w:val="0"/>
          <w:kern w:val="0"/>
          <w:sz w:val="32"/>
          <w:szCs w:val="32"/>
          <w:shd w:val="clear" w:fill="FFFFFF"/>
          <w:lang w:val="en-US" w:eastAsia="zh-CN" w:bidi="ar"/>
        </w:rPr>
        <w:t>(</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市、区</w:t>
      </w:r>
      <w:r>
        <w:rPr>
          <w:rFonts w:hint="eastAsia" w:ascii="宋体" w:hAnsi="宋体" w:eastAsia="宋体" w:cs="宋体"/>
          <w:i w:val="0"/>
          <w:iCs w:val="0"/>
          <w:caps w:val="0"/>
          <w:snapToGrid w:val="0"/>
          <w:color w:val="333333"/>
          <w:spacing w:val="0"/>
          <w:kern w:val="0"/>
          <w:sz w:val="32"/>
          <w:szCs w:val="32"/>
          <w:shd w:val="clear" w:fill="FFFFFF"/>
          <w:lang w:val="en-US" w:eastAsia="zh-CN" w:bidi="ar"/>
        </w:rPr>
        <w:t>)</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人民政府</w:t>
      </w:r>
      <w:r>
        <w:rPr>
          <w:rFonts w:hint="eastAsia" w:ascii="宋体" w:hAnsi="宋体" w:eastAsia="宋体" w:cs="宋体"/>
          <w:i w:val="0"/>
          <w:iCs w:val="0"/>
          <w:caps w:val="0"/>
          <w:snapToGrid w:val="0"/>
          <w:color w:val="333333"/>
          <w:spacing w:val="0"/>
          <w:kern w:val="0"/>
          <w:sz w:val="32"/>
          <w:szCs w:val="32"/>
          <w:shd w:val="clear" w:fill="FFFFFF"/>
          <w:lang w:val="en-US" w:eastAsia="zh-CN" w:bidi="ar"/>
        </w:rPr>
        <w:t>,</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市政府各部门</w:t>
      </w:r>
      <w:r>
        <w:rPr>
          <w:rFonts w:hint="eastAsia" w:ascii="宋体" w:hAnsi="宋体" w:eastAsia="宋体" w:cs="宋体"/>
          <w:i w:val="0"/>
          <w:iCs w:val="0"/>
          <w:caps w:val="0"/>
          <w:snapToGrid w:val="0"/>
          <w:color w:val="333333"/>
          <w:spacing w:val="0"/>
          <w:kern w:val="0"/>
          <w:sz w:val="32"/>
          <w:szCs w:val="32"/>
          <w:shd w:val="clear" w:fill="FFFFFF"/>
          <w:lang w:val="en-US" w:eastAsia="zh-CN" w:bidi="ar"/>
        </w:rPr>
        <w:t>,</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市属、驻市各单位</w:t>
      </w:r>
      <w:r>
        <w:rPr>
          <w:rFonts w:hint="eastAsia" w:ascii="宋体" w:hAnsi="宋体" w:eastAsia="宋体" w:cs="宋体"/>
          <w:i w:val="0"/>
          <w:iCs w:val="0"/>
          <w:caps w:val="0"/>
          <w:snapToGrid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Calibri" w:hAnsi="Calibri" w:cs="Calibri"/>
          <w:i w:val="0"/>
          <w:iCs w:val="0"/>
          <w:caps w:val="0"/>
          <w:color w:val="333333"/>
          <w:spacing w:val="0"/>
          <w:sz w:val="21"/>
          <w:szCs w:val="21"/>
        </w:rPr>
      </w:pP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经市政府同意</w:t>
      </w:r>
      <w:r>
        <w:rPr>
          <w:rFonts w:hint="eastAsia" w:ascii="宋体" w:hAnsi="宋体" w:eastAsia="宋体" w:cs="宋体"/>
          <w:i w:val="0"/>
          <w:iCs w:val="0"/>
          <w:caps w:val="0"/>
          <w:snapToGrid w:val="0"/>
          <w:color w:val="333333"/>
          <w:spacing w:val="0"/>
          <w:kern w:val="0"/>
          <w:sz w:val="32"/>
          <w:szCs w:val="32"/>
          <w:shd w:val="clear" w:fill="FFFFFF"/>
          <w:lang w:val="en-US" w:eastAsia="zh-CN" w:bidi="ar"/>
        </w:rPr>
        <w:t>,</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现将《关于推进私募股权投资基金业高质量发展的若干措施》印发给你们</w:t>
      </w:r>
      <w:r>
        <w:rPr>
          <w:rFonts w:hint="eastAsia" w:ascii="宋体" w:hAnsi="宋体" w:eastAsia="宋体" w:cs="宋体"/>
          <w:i w:val="0"/>
          <w:iCs w:val="0"/>
          <w:caps w:val="0"/>
          <w:snapToGrid w:val="0"/>
          <w:color w:val="333333"/>
          <w:spacing w:val="0"/>
          <w:kern w:val="0"/>
          <w:sz w:val="32"/>
          <w:szCs w:val="32"/>
          <w:shd w:val="clear" w:fill="FFFFFF"/>
          <w:lang w:val="en-US" w:eastAsia="zh-CN" w:bidi="ar"/>
        </w:rPr>
        <w:t>,</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请结合实际</w:t>
      </w:r>
      <w:r>
        <w:rPr>
          <w:rFonts w:hint="eastAsia" w:ascii="宋体" w:hAnsi="宋体" w:eastAsia="宋体" w:cs="宋体"/>
          <w:i w:val="0"/>
          <w:iCs w:val="0"/>
          <w:caps w:val="0"/>
          <w:snapToGrid w:val="0"/>
          <w:color w:val="333333"/>
          <w:spacing w:val="0"/>
          <w:kern w:val="0"/>
          <w:sz w:val="32"/>
          <w:szCs w:val="32"/>
          <w:shd w:val="clear" w:fill="FFFFFF"/>
          <w:lang w:val="en-US" w:eastAsia="zh-CN" w:bidi="ar"/>
        </w:rPr>
        <w:t>,</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认真抓好贯彻落实。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snapToGrid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snapToGrid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snapToGrid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snapToGrid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5278" w:right="1154" w:hanging="4668"/>
        <w:jc w:val="righ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snapToGrid w:val="0"/>
          <w:color w:val="333333"/>
          <w:spacing w:val="40"/>
          <w:kern w:val="0"/>
          <w:sz w:val="32"/>
          <w:szCs w:val="32"/>
          <w:shd w:val="clear" w:fill="FFFFFF"/>
          <w:lang w:val="en-US" w:eastAsia="zh-CN" w:bidi="ar"/>
        </w:rPr>
        <w:t>2023</w:t>
      </w:r>
      <w:r>
        <w:rPr>
          <w:rFonts w:hint="eastAsia" w:ascii="仿宋_GB2312" w:hAnsi="Calibri" w:eastAsia="仿宋_GB2312" w:cs="仿宋_GB2312"/>
          <w:i w:val="0"/>
          <w:iCs w:val="0"/>
          <w:caps w:val="0"/>
          <w:snapToGrid w:val="0"/>
          <w:color w:val="333333"/>
          <w:spacing w:val="40"/>
          <w:kern w:val="0"/>
          <w:sz w:val="32"/>
          <w:szCs w:val="32"/>
          <w:shd w:val="clear" w:fill="FFFFFF"/>
          <w:lang w:val="en-US" w:eastAsia="zh-CN" w:bidi="ar"/>
        </w:rPr>
        <w:t>年</w:t>
      </w:r>
      <w:r>
        <w:rPr>
          <w:rFonts w:hint="eastAsia" w:ascii="宋体" w:hAnsi="宋体" w:eastAsia="宋体" w:cs="宋体"/>
          <w:i w:val="0"/>
          <w:iCs w:val="0"/>
          <w:caps w:val="0"/>
          <w:snapToGrid w:val="0"/>
          <w:color w:val="333333"/>
          <w:spacing w:val="40"/>
          <w:kern w:val="0"/>
          <w:sz w:val="32"/>
          <w:szCs w:val="32"/>
          <w:shd w:val="clear" w:fill="FFFFFF"/>
          <w:lang w:val="en-US" w:eastAsia="zh-CN" w:bidi="ar"/>
        </w:rPr>
        <w:t>4</w:t>
      </w:r>
      <w:r>
        <w:rPr>
          <w:rFonts w:hint="eastAsia" w:ascii="仿宋_GB2312" w:hAnsi="Calibri" w:eastAsia="仿宋_GB2312" w:cs="仿宋_GB2312"/>
          <w:i w:val="0"/>
          <w:iCs w:val="0"/>
          <w:caps w:val="0"/>
          <w:snapToGrid w:val="0"/>
          <w:color w:val="333333"/>
          <w:spacing w:val="40"/>
          <w:kern w:val="0"/>
          <w:sz w:val="32"/>
          <w:szCs w:val="32"/>
          <w:shd w:val="clear" w:fill="FFFFFF"/>
          <w:lang w:val="en-US" w:eastAsia="zh-CN" w:bidi="ar"/>
        </w:rPr>
        <w:t>月</w:t>
      </w:r>
      <w:r>
        <w:rPr>
          <w:rFonts w:hint="eastAsia" w:ascii="宋体" w:hAnsi="宋体" w:eastAsia="宋体" w:cs="宋体"/>
          <w:i w:val="0"/>
          <w:iCs w:val="0"/>
          <w:caps w:val="0"/>
          <w:snapToGrid w:val="0"/>
          <w:color w:val="333333"/>
          <w:spacing w:val="40"/>
          <w:kern w:val="0"/>
          <w:sz w:val="32"/>
          <w:szCs w:val="32"/>
          <w:shd w:val="clear" w:fill="FFFFFF"/>
          <w:lang w:val="en-US" w:eastAsia="zh-CN" w:bidi="ar"/>
        </w:rPr>
        <w:t>17</w:t>
      </w:r>
      <w:r>
        <w:rPr>
          <w:rFonts w:hint="eastAsia" w:ascii="仿宋_GB2312" w:hAnsi="Calibri" w:eastAsia="仿宋_GB2312" w:cs="仿宋_GB2312"/>
          <w:i w:val="0"/>
          <w:iCs w:val="0"/>
          <w:caps w:val="0"/>
          <w:snapToGrid w:val="0"/>
          <w:color w:val="333333"/>
          <w:spacing w:val="40"/>
          <w:kern w:val="0"/>
          <w:sz w:val="32"/>
          <w:szCs w:val="32"/>
          <w:shd w:val="clear" w:fill="FFFFFF"/>
          <w:lang w:val="en-US" w:eastAsia="zh-CN" w:bidi="ar"/>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520" w:lineRule="atLeast"/>
        <w:ind w:left="0" w:right="0" w:firstLine="880"/>
        <w:jc w:val="both"/>
        <w:rPr>
          <w:rFonts w:ascii="Cambria" w:hAnsi="Cambria" w:eastAsia="Cambria" w:cs="Cambria"/>
          <w:i w:val="0"/>
          <w:iCs w:val="0"/>
          <w:caps w:val="0"/>
          <w:color w:val="333333"/>
          <w:spacing w:val="0"/>
          <w:sz w:val="24"/>
          <w:szCs w:val="24"/>
        </w:rPr>
      </w:pPr>
      <w:r>
        <w:rPr>
          <w:rFonts w:hint="eastAsia" w:ascii="仿宋_GB2312" w:hAnsi="Cambria" w:eastAsia="仿宋_GB2312" w:cs="仿宋_GB2312"/>
          <w:b w:val="0"/>
          <w:bCs w:val="0"/>
          <w:i w:val="0"/>
          <w:iCs w:val="0"/>
          <w:caps w:val="0"/>
          <w:color w:val="333333"/>
          <w:spacing w:val="0"/>
          <w:sz w:val="32"/>
          <w:szCs w:val="32"/>
          <w:shd w:val="clear" w:fill="FFFFFF"/>
        </w:rPr>
        <w:t>（此件主动公开）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snapToGrid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center"/>
        <w:rPr>
          <w:rFonts w:hint="default" w:ascii="方正小标宋_GBK" w:hAnsi="方正小标宋_GBK" w:eastAsia="方正小标宋_GBK" w:cs="方正小标宋_GBK"/>
          <w:i w:val="0"/>
          <w:iCs w:val="0"/>
          <w:caps w:val="0"/>
          <w:snapToGrid w:val="0"/>
          <w:color w:val="333333"/>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center"/>
        <w:rPr>
          <w:rFonts w:hint="default" w:ascii="方正小标宋_GBK" w:hAnsi="方正小标宋_GBK" w:eastAsia="方正小标宋_GBK" w:cs="方正小标宋_GBK"/>
          <w:i w:val="0"/>
          <w:iCs w:val="0"/>
          <w:caps w:val="0"/>
          <w:snapToGrid w:val="0"/>
          <w:color w:val="333333"/>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center"/>
        <w:rPr>
          <w:rFonts w:hint="default" w:ascii="方正小标宋_GBK" w:hAnsi="方正小标宋_GBK" w:eastAsia="方正小标宋_GBK" w:cs="方正小标宋_GBK"/>
          <w:i w:val="0"/>
          <w:iCs w:val="0"/>
          <w:caps w:val="0"/>
          <w:snapToGrid w:val="0"/>
          <w:color w:val="333333"/>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center"/>
        <w:rPr>
          <w:rFonts w:hint="default" w:ascii="方正小标宋_GBK" w:hAnsi="方正小标宋_GBK" w:eastAsia="方正小标宋_GBK" w:cs="方正小标宋_GBK"/>
          <w:i w:val="0"/>
          <w:iCs w:val="0"/>
          <w:caps w:val="0"/>
          <w:snapToGrid w:val="0"/>
          <w:color w:val="333333"/>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center"/>
        <w:rPr>
          <w:rFonts w:hint="default" w:ascii="方正小标宋_GBK" w:hAnsi="方正小标宋_GBK" w:eastAsia="方正小标宋_GBK" w:cs="方正小标宋_GBK"/>
          <w:i w:val="0"/>
          <w:iCs w:val="0"/>
          <w:caps w:val="0"/>
          <w:snapToGrid w:val="0"/>
          <w:color w:val="333333"/>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center"/>
        <w:rPr>
          <w:rFonts w:hint="eastAsia" w:ascii="方正小标宋简体" w:hAnsi="方正小标宋简体" w:eastAsia="方正小标宋简体" w:cs="方正小标宋简体"/>
          <w:i w:val="0"/>
          <w:iCs w:val="0"/>
          <w:caps w:val="0"/>
          <w:color w:val="333333"/>
          <w:spacing w:val="0"/>
          <w:sz w:val="21"/>
          <w:szCs w:val="21"/>
        </w:rPr>
      </w:pPr>
      <w:r>
        <w:rPr>
          <w:rFonts w:hint="eastAsia" w:ascii="方正小标宋简体" w:hAnsi="方正小标宋简体" w:eastAsia="方正小标宋简体" w:cs="方正小标宋简体"/>
          <w:i w:val="0"/>
          <w:iCs w:val="0"/>
          <w:caps w:val="0"/>
          <w:snapToGrid w:val="0"/>
          <w:color w:val="333333"/>
          <w:spacing w:val="0"/>
          <w:kern w:val="0"/>
          <w:sz w:val="44"/>
          <w:szCs w:val="44"/>
          <w:shd w:val="clear" w:fill="FFFFFF"/>
          <w:lang w:val="en-US" w:eastAsia="zh-CN" w:bidi="ar"/>
        </w:rPr>
        <w:t>关于推进私募股权投资基金业高质</w:t>
      </w:r>
      <w:bookmarkStart w:id="0" w:name="_GoBack"/>
      <w:bookmarkEnd w:id="0"/>
      <w:r>
        <w:rPr>
          <w:rFonts w:hint="eastAsia" w:ascii="方正小标宋简体" w:hAnsi="方正小标宋简体" w:eastAsia="方正小标宋简体" w:cs="方正小标宋简体"/>
          <w:i w:val="0"/>
          <w:iCs w:val="0"/>
          <w:caps w:val="0"/>
          <w:snapToGrid w:val="0"/>
          <w:color w:val="333333"/>
          <w:spacing w:val="0"/>
          <w:kern w:val="0"/>
          <w:sz w:val="44"/>
          <w:szCs w:val="44"/>
          <w:shd w:val="clear" w:fill="FFFFFF"/>
          <w:lang w:val="en-US" w:eastAsia="zh-CN" w:bidi="ar"/>
        </w:rPr>
        <w:t>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center"/>
        <w:rPr>
          <w:rFonts w:hint="eastAsia" w:ascii="方正小标宋简体" w:hAnsi="方正小标宋简体" w:eastAsia="方正小标宋简体" w:cs="方正小标宋简体"/>
          <w:i w:val="0"/>
          <w:iCs w:val="0"/>
          <w:caps w:val="0"/>
          <w:color w:val="333333"/>
          <w:spacing w:val="0"/>
          <w:sz w:val="21"/>
          <w:szCs w:val="21"/>
        </w:rPr>
      </w:pPr>
      <w:r>
        <w:rPr>
          <w:rFonts w:hint="eastAsia" w:ascii="方正小标宋简体" w:hAnsi="方正小标宋简体" w:eastAsia="方正小标宋简体" w:cs="方正小标宋简体"/>
          <w:i w:val="0"/>
          <w:iCs w:val="0"/>
          <w:caps w:val="0"/>
          <w:snapToGrid w:val="0"/>
          <w:color w:val="333333"/>
          <w:spacing w:val="0"/>
          <w:kern w:val="0"/>
          <w:sz w:val="44"/>
          <w:szCs w:val="44"/>
          <w:shd w:val="clear" w:fill="FFFFFF"/>
          <w:lang w:val="en-US" w:eastAsia="zh-CN" w:bidi="ar"/>
        </w:rPr>
        <w:t>发展的若干措施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both"/>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snapToGrid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Calibri" w:hAnsi="Calibri" w:cs="Calibri"/>
          <w:i w:val="0"/>
          <w:iCs w:val="0"/>
          <w:caps w:val="0"/>
          <w:color w:val="333333"/>
          <w:spacing w:val="0"/>
          <w:sz w:val="21"/>
          <w:szCs w:val="21"/>
        </w:rPr>
      </w:pP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为加快推动我市基金行业发展，充分发挥私募股权投资基金在推动科技创新和实体经济转型升级中的重要作用，实现基金招商提质增效，促进赣州经济高质量发展，结合本市实际，特制定如下措施。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Calibri" w:hAnsi="Calibri" w:cs="Calibri"/>
          <w:i w:val="0"/>
          <w:iCs w:val="0"/>
          <w:caps w:val="0"/>
          <w:color w:val="333333"/>
          <w:spacing w:val="0"/>
          <w:sz w:val="21"/>
          <w:szCs w:val="21"/>
        </w:rPr>
      </w:pPr>
      <w:r>
        <w:rPr>
          <w:rFonts w:ascii="黑体" w:hAnsi="宋体" w:eastAsia="黑体" w:cs="黑体"/>
          <w:i w:val="0"/>
          <w:iCs w:val="0"/>
          <w:caps w:val="0"/>
          <w:snapToGrid w:val="0"/>
          <w:color w:val="333333"/>
          <w:spacing w:val="0"/>
          <w:kern w:val="0"/>
          <w:sz w:val="32"/>
          <w:szCs w:val="32"/>
          <w:shd w:val="clear" w:fill="FFFFFF"/>
          <w:lang w:val="en-US" w:eastAsia="zh-CN" w:bidi="ar"/>
        </w:rPr>
        <w:t>一、政府投资引导基金助力产业发展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Calibri" w:hAnsi="Calibri" w:cs="Calibri"/>
          <w:i w:val="0"/>
          <w:iCs w:val="0"/>
          <w:caps w:val="0"/>
          <w:color w:val="333333"/>
          <w:spacing w:val="0"/>
          <w:sz w:val="21"/>
          <w:szCs w:val="21"/>
        </w:rPr>
      </w:pPr>
      <w:r>
        <w:rPr>
          <w:rFonts w:ascii="楷体_GB2312" w:hAnsi="Calibri" w:eastAsia="楷体_GB2312" w:cs="楷体_GB2312"/>
          <w:i w:val="0"/>
          <w:iCs w:val="0"/>
          <w:caps w:val="0"/>
          <w:snapToGrid w:val="0"/>
          <w:color w:val="333333"/>
          <w:spacing w:val="0"/>
          <w:kern w:val="0"/>
          <w:sz w:val="32"/>
          <w:szCs w:val="32"/>
          <w:shd w:val="clear" w:fill="FFFFFF"/>
          <w:lang w:val="en-US" w:eastAsia="zh-CN" w:bidi="ar"/>
        </w:rPr>
        <w:t>（一）支持基金服务重点产业。</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围绕我市“</w:t>
      </w:r>
      <w:r>
        <w:rPr>
          <w:rFonts w:hint="eastAsia" w:ascii="宋体" w:hAnsi="宋体" w:eastAsia="宋体" w:cs="宋体"/>
          <w:i w:val="0"/>
          <w:iCs w:val="0"/>
          <w:caps w:val="0"/>
          <w:snapToGrid w:val="0"/>
          <w:color w:val="333333"/>
          <w:spacing w:val="0"/>
          <w:kern w:val="0"/>
          <w:sz w:val="32"/>
          <w:szCs w:val="32"/>
          <w:shd w:val="clear" w:fill="FFFFFF"/>
          <w:lang w:val="en-US" w:eastAsia="zh-CN" w:bidi="ar"/>
        </w:rPr>
        <w:t>1+5+N</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重点产业，鼓励与私募股权投资基金管理机构合作设立专项基金，“以投带招”引进项目落地。支持政府产业引导基金设立子基金，围绕我市主导产业布局进行投资，促进优势产业聚集。支持明确可从事基金投资业务的市属国有企业围绕其功能定位和主责主业发起设立并购基金，开展产业链上下游并购重组，做强做优产业链规模和生态圈。</w:t>
      </w:r>
      <w:r>
        <w:rPr>
          <w:rFonts w:hint="eastAsia" w:ascii="楷体_GB2312" w:hAnsi="Calibri" w:eastAsia="楷体_GB2312" w:cs="楷体_GB2312"/>
          <w:i w:val="0"/>
          <w:iCs w:val="0"/>
          <w:caps w:val="0"/>
          <w:snapToGrid w:val="0"/>
          <w:color w:val="333333"/>
          <w:spacing w:val="0"/>
          <w:kern w:val="0"/>
          <w:sz w:val="32"/>
          <w:szCs w:val="32"/>
          <w:shd w:val="clear" w:fill="FFFFFF"/>
          <w:lang w:val="en-US" w:eastAsia="zh-CN" w:bidi="ar"/>
        </w:rPr>
        <w:t>〔责任单位：各县（市、区）人民政府（以下各地均为责任单位，不再重复列出），市政府金融办、市财政局、市发展改革委、市工信局、市科技局、市商务局、市国资委、赣州发投集团、赣州国投集团、赣州旅投集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Calibri" w:hAnsi="Calibri" w:cs="Calibri"/>
          <w:i w:val="0"/>
          <w:iCs w:val="0"/>
          <w:caps w:val="0"/>
          <w:color w:val="333333"/>
          <w:spacing w:val="0"/>
          <w:sz w:val="21"/>
          <w:szCs w:val="21"/>
        </w:rPr>
      </w:pPr>
      <w:r>
        <w:rPr>
          <w:rFonts w:hint="eastAsia" w:ascii="楷体_GB2312" w:hAnsi="Calibri" w:eastAsia="楷体_GB2312" w:cs="楷体_GB2312"/>
          <w:i w:val="0"/>
          <w:iCs w:val="0"/>
          <w:caps w:val="0"/>
          <w:snapToGrid w:val="0"/>
          <w:color w:val="333333"/>
          <w:spacing w:val="0"/>
          <w:kern w:val="0"/>
          <w:sz w:val="32"/>
          <w:szCs w:val="32"/>
          <w:shd w:val="clear" w:fill="FFFFFF"/>
          <w:lang w:val="en-US" w:eastAsia="zh-CN" w:bidi="ar"/>
        </w:rPr>
        <w:t>（二）推动建立“链主</w:t>
      </w:r>
      <w:r>
        <w:rPr>
          <w:rFonts w:hint="eastAsia" w:ascii="宋体" w:hAnsi="宋体" w:eastAsia="宋体" w:cs="宋体"/>
          <w:i w:val="0"/>
          <w:iCs w:val="0"/>
          <w:caps w:val="0"/>
          <w:snapToGrid w:val="0"/>
          <w:color w:val="333333"/>
          <w:spacing w:val="0"/>
          <w:kern w:val="0"/>
          <w:sz w:val="32"/>
          <w:szCs w:val="32"/>
          <w:shd w:val="clear" w:fill="FFFFFF"/>
          <w:lang w:val="en-US" w:eastAsia="zh-CN" w:bidi="ar"/>
        </w:rPr>
        <w:t>+</w:t>
      </w:r>
      <w:r>
        <w:rPr>
          <w:rFonts w:hint="eastAsia" w:ascii="楷体_GB2312" w:hAnsi="Calibri" w:eastAsia="楷体_GB2312" w:cs="楷体_GB2312"/>
          <w:i w:val="0"/>
          <w:iCs w:val="0"/>
          <w:caps w:val="0"/>
          <w:snapToGrid w:val="0"/>
          <w:color w:val="333333"/>
          <w:spacing w:val="0"/>
          <w:kern w:val="0"/>
          <w:sz w:val="32"/>
          <w:szCs w:val="32"/>
          <w:shd w:val="clear" w:fill="FFFFFF"/>
          <w:lang w:val="en-US" w:eastAsia="zh-CN" w:bidi="ar"/>
        </w:rPr>
        <w:t>基金”招商模式。</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鼓励市、县政府产业引导基金与上市公司、产业链龙头企业合作设立基金，开展投行化、专业化招商，结合链主企业资金、信息和销售链优势及基金管理机构资本运营能力，引进补链强链延链的实体项目。</w:t>
      </w:r>
      <w:r>
        <w:rPr>
          <w:rFonts w:hint="eastAsia" w:ascii="楷体_GB2312" w:hAnsi="Calibri" w:eastAsia="楷体_GB2312" w:cs="楷体_GB2312"/>
          <w:i w:val="0"/>
          <w:iCs w:val="0"/>
          <w:caps w:val="0"/>
          <w:snapToGrid w:val="0"/>
          <w:color w:val="333333"/>
          <w:spacing w:val="0"/>
          <w:kern w:val="0"/>
          <w:sz w:val="32"/>
          <w:szCs w:val="32"/>
          <w:shd w:val="clear" w:fill="FFFFFF"/>
          <w:lang w:val="en-US" w:eastAsia="zh-CN" w:bidi="ar"/>
        </w:rPr>
        <w:t>〔责任单位：市商务局、市财政局、市国资委、市政府金融办、赣州发投集团、赣州国投集团、赣州旅投集团〕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Calibri" w:hAnsi="Calibri" w:cs="Calibri"/>
          <w:i w:val="0"/>
          <w:iCs w:val="0"/>
          <w:caps w:val="0"/>
          <w:color w:val="333333"/>
          <w:spacing w:val="0"/>
          <w:sz w:val="21"/>
          <w:szCs w:val="21"/>
        </w:rPr>
      </w:pPr>
      <w:r>
        <w:rPr>
          <w:rFonts w:hint="eastAsia" w:ascii="楷体_GB2312" w:hAnsi="Calibri" w:eastAsia="楷体_GB2312" w:cs="楷体_GB2312"/>
          <w:i w:val="0"/>
          <w:iCs w:val="0"/>
          <w:caps w:val="0"/>
          <w:snapToGrid w:val="0"/>
          <w:color w:val="333333"/>
          <w:spacing w:val="0"/>
          <w:kern w:val="0"/>
          <w:sz w:val="32"/>
          <w:szCs w:val="32"/>
          <w:shd w:val="clear" w:fill="FFFFFF"/>
          <w:lang w:val="en-US" w:eastAsia="zh-CN" w:bidi="ar"/>
        </w:rPr>
        <w:t>（三）政府投资引导基金让利支持。</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完善和优化政府投资引导基金绩效考核体系，市级政府投资引导基金参股基金返投赣州比例达到</w:t>
      </w:r>
      <w:r>
        <w:rPr>
          <w:rFonts w:hint="eastAsia" w:ascii="宋体" w:hAnsi="宋体" w:eastAsia="宋体" w:cs="宋体"/>
          <w:i w:val="0"/>
          <w:iCs w:val="0"/>
          <w:caps w:val="0"/>
          <w:snapToGrid w:val="0"/>
          <w:color w:val="333333"/>
          <w:spacing w:val="0"/>
          <w:kern w:val="0"/>
          <w:sz w:val="32"/>
          <w:szCs w:val="32"/>
          <w:shd w:val="clear" w:fill="FFFFFF"/>
          <w:lang w:val="en-US" w:eastAsia="zh-CN" w:bidi="ar"/>
        </w:rPr>
        <w:t>2</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倍、</w:t>
      </w:r>
      <w:r>
        <w:rPr>
          <w:rFonts w:hint="eastAsia" w:ascii="宋体" w:hAnsi="宋体" w:eastAsia="宋体" w:cs="宋体"/>
          <w:i w:val="0"/>
          <w:iCs w:val="0"/>
          <w:caps w:val="0"/>
          <w:snapToGrid w:val="0"/>
          <w:color w:val="333333"/>
          <w:spacing w:val="0"/>
          <w:kern w:val="0"/>
          <w:sz w:val="32"/>
          <w:szCs w:val="32"/>
          <w:shd w:val="clear" w:fill="FFFFFF"/>
          <w:lang w:val="en-US" w:eastAsia="zh-CN" w:bidi="ar"/>
        </w:rPr>
        <w:t>2.5</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倍和</w:t>
      </w:r>
      <w:r>
        <w:rPr>
          <w:rFonts w:hint="eastAsia" w:ascii="宋体" w:hAnsi="宋体" w:eastAsia="宋体" w:cs="宋体"/>
          <w:i w:val="0"/>
          <w:iCs w:val="0"/>
          <w:caps w:val="0"/>
          <w:snapToGrid w:val="0"/>
          <w:color w:val="333333"/>
          <w:spacing w:val="0"/>
          <w:kern w:val="0"/>
          <w:sz w:val="32"/>
          <w:szCs w:val="32"/>
          <w:shd w:val="clear" w:fill="FFFFFF"/>
          <w:lang w:val="en-US" w:eastAsia="zh-CN" w:bidi="ar"/>
        </w:rPr>
        <w:t>3</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倍以上的（以赣州市、县两级财政及国有控股企业出资合计数为基数计算），市级政府产业引导基金中财政出资部分可获得超额收益的</w:t>
      </w:r>
      <w:r>
        <w:rPr>
          <w:rFonts w:hint="eastAsia" w:ascii="宋体" w:hAnsi="宋体" w:eastAsia="宋体" w:cs="宋体"/>
          <w:i w:val="0"/>
          <w:iCs w:val="0"/>
          <w:caps w:val="0"/>
          <w:snapToGrid w:val="0"/>
          <w:color w:val="333333"/>
          <w:spacing w:val="0"/>
          <w:kern w:val="0"/>
          <w:sz w:val="32"/>
          <w:szCs w:val="32"/>
          <w:shd w:val="clear" w:fill="FFFFFF"/>
          <w:lang w:val="en-US" w:eastAsia="zh-CN" w:bidi="ar"/>
        </w:rPr>
        <w:t>20%</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w:t>
      </w:r>
      <w:r>
        <w:rPr>
          <w:rFonts w:hint="eastAsia" w:ascii="宋体" w:hAnsi="宋体" w:eastAsia="宋体" w:cs="宋体"/>
          <w:i w:val="0"/>
          <w:iCs w:val="0"/>
          <w:caps w:val="0"/>
          <w:snapToGrid w:val="0"/>
          <w:color w:val="333333"/>
          <w:spacing w:val="0"/>
          <w:kern w:val="0"/>
          <w:sz w:val="32"/>
          <w:szCs w:val="32"/>
          <w:shd w:val="clear" w:fill="FFFFFF"/>
          <w:lang w:val="en-US" w:eastAsia="zh-CN" w:bidi="ar"/>
        </w:rPr>
        <w:t>40%</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w:t>
      </w:r>
      <w:r>
        <w:rPr>
          <w:rFonts w:hint="eastAsia" w:ascii="宋体" w:hAnsi="宋体" w:eastAsia="宋体" w:cs="宋体"/>
          <w:i w:val="0"/>
          <w:iCs w:val="0"/>
          <w:caps w:val="0"/>
          <w:snapToGrid w:val="0"/>
          <w:color w:val="333333"/>
          <w:spacing w:val="0"/>
          <w:kern w:val="0"/>
          <w:sz w:val="32"/>
          <w:szCs w:val="32"/>
          <w:shd w:val="clear" w:fill="FFFFFF"/>
          <w:lang w:val="en-US" w:eastAsia="zh-CN" w:bidi="ar"/>
        </w:rPr>
        <w:t>60%</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部分让渡给基金管理机构或社会资本。返投让利条款应在政府产业引导基金与其基金管理机构协议进行约定，返投让利在私募基金清算时经第三方中介机构确认后按程序兑付。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Calibri" w:hAnsi="Calibri" w:cs="Calibri"/>
          <w:i w:val="0"/>
          <w:iCs w:val="0"/>
          <w:caps w:val="0"/>
          <w:color w:val="333333"/>
          <w:spacing w:val="0"/>
          <w:sz w:val="21"/>
          <w:szCs w:val="21"/>
        </w:rPr>
      </w:pP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以下情况视为投资在赣州市内：</w:t>
      </w:r>
      <w:r>
        <w:rPr>
          <w:rFonts w:hint="eastAsia" w:ascii="宋体" w:hAnsi="宋体" w:eastAsia="宋体" w:cs="宋体"/>
          <w:i w:val="0"/>
          <w:iCs w:val="0"/>
          <w:caps w:val="0"/>
          <w:snapToGrid w:val="0"/>
          <w:color w:val="333333"/>
          <w:spacing w:val="0"/>
          <w:kern w:val="0"/>
          <w:sz w:val="32"/>
          <w:szCs w:val="32"/>
          <w:shd w:val="clear" w:fill="FFFFFF"/>
          <w:lang w:val="en-US" w:eastAsia="zh-CN" w:bidi="ar"/>
        </w:rPr>
        <w:t>1.</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投资注册登记在赣州市的企业；</w:t>
      </w:r>
      <w:r>
        <w:rPr>
          <w:rFonts w:hint="eastAsia" w:ascii="宋体" w:hAnsi="宋体" w:eastAsia="宋体" w:cs="宋体"/>
          <w:i w:val="0"/>
          <w:iCs w:val="0"/>
          <w:caps w:val="0"/>
          <w:snapToGrid w:val="0"/>
          <w:color w:val="333333"/>
          <w:spacing w:val="0"/>
          <w:kern w:val="0"/>
          <w:sz w:val="32"/>
          <w:szCs w:val="32"/>
          <w:shd w:val="clear" w:fill="FFFFFF"/>
          <w:lang w:val="en-US" w:eastAsia="zh-CN" w:bidi="ar"/>
        </w:rPr>
        <w:t>2.</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投资的市外企业以股权投资方式投资赣州市已有企业；</w:t>
      </w:r>
      <w:r>
        <w:rPr>
          <w:rFonts w:hint="eastAsia" w:ascii="宋体" w:hAnsi="宋体" w:eastAsia="宋体" w:cs="宋体"/>
          <w:i w:val="0"/>
          <w:iCs w:val="0"/>
          <w:caps w:val="0"/>
          <w:snapToGrid w:val="0"/>
          <w:color w:val="333333"/>
          <w:spacing w:val="0"/>
          <w:kern w:val="0"/>
          <w:sz w:val="32"/>
          <w:szCs w:val="32"/>
          <w:shd w:val="clear" w:fill="FFFFFF"/>
          <w:lang w:val="en-US" w:eastAsia="zh-CN" w:bidi="ar"/>
        </w:rPr>
        <w:t>3.</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投资的市外企业在市内投资设立主要负责生产研发的子公司；</w:t>
      </w:r>
      <w:r>
        <w:rPr>
          <w:rFonts w:hint="eastAsia" w:ascii="宋体" w:hAnsi="宋体" w:eastAsia="宋体" w:cs="宋体"/>
          <w:i w:val="0"/>
          <w:iCs w:val="0"/>
          <w:caps w:val="0"/>
          <w:snapToGrid w:val="0"/>
          <w:color w:val="333333"/>
          <w:spacing w:val="0"/>
          <w:kern w:val="0"/>
          <w:sz w:val="32"/>
          <w:szCs w:val="32"/>
          <w:shd w:val="clear" w:fill="FFFFFF"/>
          <w:lang w:val="en-US" w:eastAsia="zh-CN" w:bidi="ar"/>
        </w:rPr>
        <w:t>4.</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投资市外企业迁址落户我市的；</w:t>
      </w:r>
      <w:r>
        <w:rPr>
          <w:rFonts w:hint="eastAsia" w:ascii="宋体" w:hAnsi="宋体" w:eastAsia="宋体" w:cs="宋体"/>
          <w:i w:val="0"/>
          <w:iCs w:val="0"/>
          <w:caps w:val="0"/>
          <w:snapToGrid w:val="0"/>
          <w:color w:val="333333"/>
          <w:spacing w:val="0"/>
          <w:kern w:val="0"/>
          <w:sz w:val="32"/>
          <w:szCs w:val="32"/>
          <w:shd w:val="clear" w:fill="FFFFFF"/>
          <w:lang w:val="en-US" w:eastAsia="zh-CN" w:bidi="ar"/>
        </w:rPr>
        <w:t>5.</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其它经领导小组认定视为投资在赣州市内的情形。</w:t>
      </w:r>
      <w:r>
        <w:rPr>
          <w:rFonts w:hint="eastAsia" w:ascii="楷体_GB2312" w:hAnsi="Calibri" w:eastAsia="楷体_GB2312" w:cs="楷体_GB2312"/>
          <w:i w:val="0"/>
          <w:iCs w:val="0"/>
          <w:caps w:val="0"/>
          <w:snapToGrid w:val="0"/>
          <w:color w:val="333333"/>
          <w:spacing w:val="0"/>
          <w:kern w:val="0"/>
          <w:sz w:val="32"/>
          <w:szCs w:val="32"/>
          <w:shd w:val="clear" w:fill="FFFFFF"/>
          <w:lang w:val="en-US" w:eastAsia="zh-CN" w:bidi="ar"/>
        </w:rPr>
        <w:t>〔责任单位：市财政局、市政府金融办、赣州发投集团、赣州国投集团、赣州旅投集团〕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snapToGrid w:val="0"/>
          <w:color w:val="333333"/>
          <w:spacing w:val="0"/>
          <w:kern w:val="0"/>
          <w:sz w:val="32"/>
          <w:szCs w:val="32"/>
          <w:shd w:val="clear" w:fill="FFFFFF"/>
          <w:lang w:val="en-US" w:eastAsia="zh-CN" w:bidi="ar"/>
        </w:rPr>
        <w:t>二、鼓励各类基金在赣州发展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Calibri" w:hAnsi="Calibri" w:cs="Calibri"/>
          <w:i w:val="0"/>
          <w:iCs w:val="0"/>
          <w:caps w:val="0"/>
          <w:color w:val="333333"/>
          <w:spacing w:val="0"/>
          <w:sz w:val="21"/>
          <w:szCs w:val="21"/>
        </w:rPr>
      </w:pPr>
      <w:r>
        <w:rPr>
          <w:rFonts w:hint="eastAsia" w:ascii="楷体_GB2312" w:hAnsi="Calibri" w:eastAsia="楷体_GB2312" w:cs="楷体_GB2312"/>
          <w:i w:val="0"/>
          <w:iCs w:val="0"/>
          <w:caps w:val="0"/>
          <w:snapToGrid w:val="0"/>
          <w:color w:val="333333"/>
          <w:spacing w:val="0"/>
          <w:kern w:val="0"/>
          <w:sz w:val="32"/>
          <w:szCs w:val="32"/>
          <w:shd w:val="clear" w:fill="FFFFFF"/>
          <w:lang w:val="en-US" w:eastAsia="zh-CN" w:bidi="ar"/>
        </w:rPr>
        <w:t>（四）鼓励各类股权投资机构落户。</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各私募股权投资基金或私募股权投资基金管理机构新落户赣州的，由受益财政按其落户当年度对地方财政贡献的</w:t>
      </w:r>
      <w:r>
        <w:rPr>
          <w:rFonts w:hint="eastAsia" w:ascii="宋体" w:hAnsi="宋体" w:eastAsia="宋体" w:cs="宋体"/>
          <w:i w:val="0"/>
          <w:iCs w:val="0"/>
          <w:caps w:val="0"/>
          <w:snapToGrid w:val="0"/>
          <w:color w:val="333333"/>
          <w:spacing w:val="0"/>
          <w:kern w:val="0"/>
          <w:sz w:val="32"/>
          <w:szCs w:val="32"/>
          <w:shd w:val="clear" w:fill="FFFFFF"/>
          <w:lang w:val="en-US" w:eastAsia="zh-CN" w:bidi="ar"/>
        </w:rPr>
        <w:t>30%</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予以奖励。私募股权投资基金首期实缴，并按约定投资赣州本土企业或投外引内的，按其投资资金的</w:t>
      </w:r>
      <w:r>
        <w:rPr>
          <w:rFonts w:hint="eastAsia" w:ascii="宋体" w:hAnsi="宋体" w:eastAsia="宋体" w:cs="宋体"/>
          <w:i w:val="0"/>
          <w:iCs w:val="0"/>
          <w:caps w:val="0"/>
          <w:snapToGrid w:val="0"/>
          <w:color w:val="333333"/>
          <w:spacing w:val="0"/>
          <w:kern w:val="0"/>
          <w:sz w:val="32"/>
          <w:szCs w:val="32"/>
          <w:shd w:val="clear" w:fill="FFFFFF"/>
          <w:lang w:val="en-US" w:eastAsia="zh-CN" w:bidi="ar"/>
        </w:rPr>
        <w:t>0.2%</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给予奖励，两项奖励合计不超过</w:t>
      </w:r>
      <w:r>
        <w:rPr>
          <w:rFonts w:hint="eastAsia" w:ascii="宋体" w:hAnsi="宋体" w:eastAsia="宋体" w:cs="宋体"/>
          <w:i w:val="0"/>
          <w:iCs w:val="0"/>
          <w:caps w:val="0"/>
          <w:snapToGrid w:val="0"/>
          <w:color w:val="333333"/>
          <w:spacing w:val="0"/>
          <w:kern w:val="0"/>
          <w:sz w:val="32"/>
          <w:szCs w:val="32"/>
          <w:shd w:val="clear" w:fill="FFFFFF"/>
          <w:lang w:val="en-US" w:eastAsia="zh-CN" w:bidi="ar"/>
        </w:rPr>
        <w:t>1000</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万元。支持在我市注册并在基金业登记备案的基金管理机构，按市场化原则和依法依规申请成为政府产业基金管理人。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Calibri" w:hAnsi="Calibri" w:cs="Calibri"/>
          <w:i w:val="0"/>
          <w:iCs w:val="0"/>
          <w:caps w:val="0"/>
          <w:color w:val="333333"/>
          <w:spacing w:val="0"/>
          <w:sz w:val="21"/>
          <w:szCs w:val="21"/>
        </w:rPr>
      </w:pP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申请落户奖励的私募股权投资基金或私募股权投资基金管理机构要在赣州注册并缴纳税收。自享受落户奖励的当年度起基金续存期内不得减少或抽逃资本金，不得减少募集资金。</w:t>
      </w:r>
      <w:r>
        <w:rPr>
          <w:rFonts w:hint="eastAsia" w:ascii="楷体_GB2312" w:hAnsi="Calibri" w:eastAsia="楷体_GB2312" w:cs="楷体_GB2312"/>
          <w:i w:val="0"/>
          <w:iCs w:val="0"/>
          <w:caps w:val="0"/>
          <w:snapToGrid w:val="0"/>
          <w:color w:val="333333"/>
          <w:spacing w:val="0"/>
          <w:kern w:val="0"/>
          <w:sz w:val="32"/>
          <w:szCs w:val="32"/>
          <w:shd w:val="clear" w:fill="FFFFFF"/>
          <w:lang w:val="en-US" w:eastAsia="zh-CN" w:bidi="ar"/>
        </w:rPr>
        <w:t>〔责任单位：市财政局、市政府金融办〕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Calibri" w:hAnsi="Calibri" w:cs="Calibri"/>
          <w:i w:val="0"/>
          <w:iCs w:val="0"/>
          <w:caps w:val="0"/>
          <w:color w:val="333333"/>
          <w:spacing w:val="0"/>
          <w:sz w:val="21"/>
          <w:szCs w:val="21"/>
        </w:rPr>
      </w:pPr>
      <w:r>
        <w:rPr>
          <w:rFonts w:hint="eastAsia" w:ascii="楷体_GB2312" w:hAnsi="Calibri" w:eastAsia="楷体_GB2312" w:cs="楷体_GB2312"/>
          <w:i w:val="0"/>
          <w:iCs w:val="0"/>
          <w:caps w:val="0"/>
          <w:snapToGrid w:val="0"/>
          <w:color w:val="333333"/>
          <w:spacing w:val="0"/>
          <w:kern w:val="0"/>
          <w:sz w:val="32"/>
          <w:szCs w:val="32"/>
          <w:shd w:val="clear" w:fill="FFFFFF"/>
          <w:lang w:val="en-US" w:eastAsia="zh-CN" w:bidi="ar"/>
        </w:rPr>
        <w:t>（五）鼓励加大在赣投资力度。</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私募股权投资基金投资赣州辖区内企业和项目，以及所投资市外企业迁址我市或所投资市外企业在我市新设子公司的，由受益财政在基金退出后按该基金对地方财政贡献的</w:t>
      </w:r>
      <w:r>
        <w:rPr>
          <w:rFonts w:hint="eastAsia" w:ascii="宋体" w:hAnsi="宋体" w:eastAsia="宋体" w:cs="宋体"/>
          <w:i w:val="0"/>
          <w:iCs w:val="0"/>
          <w:caps w:val="0"/>
          <w:snapToGrid w:val="0"/>
          <w:color w:val="333333"/>
          <w:spacing w:val="0"/>
          <w:kern w:val="0"/>
          <w:sz w:val="32"/>
          <w:szCs w:val="32"/>
          <w:shd w:val="clear" w:fill="FFFFFF"/>
          <w:lang w:val="en-US" w:eastAsia="zh-CN" w:bidi="ar"/>
        </w:rPr>
        <w:t>90%</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予以奖励。</w:t>
      </w:r>
      <w:r>
        <w:rPr>
          <w:rFonts w:hint="eastAsia" w:ascii="楷体_GB2312" w:hAnsi="Calibri" w:eastAsia="楷体_GB2312" w:cs="楷体_GB2312"/>
          <w:i w:val="0"/>
          <w:iCs w:val="0"/>
          <w:caps w:val="0"/>
          <w:snapToGrid w:val="0"/>
          <w:color w:val="333333"/>
          <w:spacing w:val="0"/>
          <w:kern w:val="0"/>
          <w:sz w:val="32"/>
          <w:szCs w:val="32"/>
          <w:shd w:val="clear" w:fill="FFFFFF"/>
          <w:lang w:val="en-US" w:eastAsia="zh-CN" w:bidi="ar"/>
        </w:rPr>
        <w:t>〔责任单位：市财政局、市政府金融办、国家税务总局赣州市税务局〕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Calibri" w:hAnsi="Calibri" w:cs="Calibri"/>
          <w:i w:val="0"/>
          <w:iCs w:val="0"/>
          <w:caps w:val="0"/>
          <w:color w:val="333333"/>
          <w:spacing w:val="0"/>
          <w:sz w:val="21"/>
          <w:szCs w:val="21"/>
        </w:rPr>
      </w:pPr>
      <w:r>
        <w:rPr>
          <w:rFonts w:hint="eastAsia" w:ascii="楷体_GB2312" w:hAnsi="Calibri" w:eastAsia="楷体_GB2312" w:cs="楷体_GB2312"/>
          <w:i w:val="0"/>
          <w:iCs w:val="0"/>
          <w:caps w:val="0"/>
          <w:snapToGrid w:val="0"/>
          <w:color w:val="333333"/>
          <w:spacing w:val="0"/>
          <w:kern w:val="0"/>
          <w:sz w:val="32"/>
          <w:szCs w:val="32"/>
          <w:shd w:val="clear" w:fill="FFFFFF"/>
          <w:lang w:val="en-US" w:eastAsia="zh-CN" w:bidi="ar"/>
        </w:rPr>
        <w:t>（六）引导股权投资投早投小投科技。</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对私募股权投资基金管理机构所管理基金投资我市种子期、初创期企业</w:t>
      </w:r>
      <w:r>
        <w:rPr>
          <w:rFonts w:hint="eastAsia" w:ascii="宋体" w:hAnsi="宋体" w:eastAsia="宋体" w:cs="宋体"/>
          <w:i w:val="0"/>
          <w:iCs w:val="0"/>
          <w:caps w:val="0"/>
          <w:snapToGrid w:val="0"/>
          <w:color w:val="333333"/>
          <w:spacing w:val="0"/>
          <w:kern w:val="0"/>
          <w:sz w:val="32"/>
          <w:szCs w:val="32"/>
          <w:shd w:val="clear" w:fill="FFFFFF"/>
          <w:lang w:val="en-US" w:eastAsia="zh-CN" w:bidi="ar"/>
        </w:rPr>
        <w:t>2</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年以上的，由受益财政按照实际投资额的</w:t>
      </w:r>
      <w:r>
        <w:rPr>
          <w:rFonts w:hint="eastAsia" w:ascii="宋体" w:hAnsi="宋体" w:eastAsia="宋体" w:cs="宋体"/>
          <w:i w:val="0"/>
          <w:iCs w:val="0"/>
          <w:caps w:val="0"/>
          <w:snapToGrid w:val="0"/>
          <w:color w:val="333333"/>
          <w:spacing w:val="0"/>
          <w:kern w:val="0"/>
          <w:sz w:val="32"/>
          <w:szCs w:val="32"/>
          <w:shd w:val="clear" w:fill="FFFFFF"/>
          <w:lang w:val="en-US" w:eastAsia="zh-CN" w:bidi="ar"/>
        </w:rPr>
        <w:t>5%</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给予奖励，每投资</w:t>
      </w:r>
      <w:r>
        <w:rPr>
          <w:rFonts w:hint="eastAsia" w:ascii="宋体" w:hAnsi="宋体" w:eastAsia="宋体" w:cs="宋体"/>
          <w:i w:val="0"/>
          <w:iCs w:val="0"/>
          <w:caps w:val="0"/>
          <w:snapToGrid w:val="0"/>
          <w:color w:val="333333"/>
          <w:spacing w:val="0"/>
          <w:kern w:val="0"/>
          <w:sz w:val="32"/>
          <w:szCs w:val="32"/>
          <w:shd w:val="clear" w:fill="FFFFFF"/>
          <w:lang w:val="en-US" w:eastAsia="zh-CN" w:bidi="ar"/>
        </w:rPr>
        <w:t>1</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家企业最高奖励人民币</w:t>
      </w:r>
      <w:r>
        <w:rPr>
          <w:rFonts w:hint="eastAsia" w:ascii="宋体" w:hAnsi="宋体" w:eastAsia="宋体" w:cs="宋体"/>
          <w:i w:val="0"/>
          <w:iCs w:val="0"/>
          <w:caps w:val="0"/>
          <w:snapToGrid w:val="0"/>
          <w:color w:val="333333"/>
          <w:spacing w:val="0"/>
          <w:kern w:val="0"/>
          <w:sz w:val="32"/>
          <w:szCs w:val="32"/>
          <w:shd w:val="clear" w:fill="FFFFFF"/>
          <w:lang w:val="en-US" w:eastAsia="zh-CN" w:bidi="ar"/>
        </w:rPr>
        <w:t>100</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万元，每家私募股权投资基金管理机构每年累计申请本项奖励不超过人民币</w:t>
      </w:r>
      <w:r>
        <w:rPr>
          <w:rFonts w:hint="eastAsia" w:ascii="宋体" w:hAnsi="宋体" w:eastAsia="宋体" w:cs="宋体"/>
          <w:i w:val="0"/>
          <w:iCs w:val="0"/>
          <w:caps w:val="0"/>
          <w:snapToGrid w:val="0"/>
          <w:color w:val="333333"/>
          <w:spacing w:val="0"/>
          <w:kern w:val="0"/>
          <w:sz w:val="32"/>
          <w:szCs w:val="32"/>
          <w:shd w:val="clear" w:fill="FFFFFF"/>
          <w:lang w:val="en-US" w:eastAsia="zh-CN" w:bidi="ar"/>
        </w:rPr>
        <w:t>300</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万元。种子期、初创期企业须满足基金投资时设立时间不超过</w:t>
      </w:r>
      <w:r>
        <w:rPr>
          <w:rFonts w:hint="eastAsia" w:ascii="宋体" w:hAnsi="宋体" w:eastAsia="宋体" w:cs="宋体"/>
          <w:i w:val="0"/>
          <w:iCs w:val="0"/>
          <w:caps w:val="0"/>
          <w:snapToGrid w:val="0"/>
          <w:color w:val="333333"/>
          <w:spacing w:val="0"/>
          <w:kern w:val="0"/>
          <w:sz w:val="32"/>
          <w:szCs w:val="32"/>
          <w:shd w:val="clear" w:fill="FFFFFF"/>
          <w:lang w:val="en-US" w:eastAsia="zh-CN" w:bidi="ar"/>
        </w:rPr>
        <w:t>5</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年，从业人数不超过</w:t>
      </w:r>
      <w:r>
        <w:rPr>
          <w:rFonts w:hint="eastAsia" w:ascii="宋体" w:hAnsi="宋体" w:eastAsia="宋体" w:cs="宋体"/>
          <w:i w:val="0"/>
          <w:iCs w:val="0"/>
          <w:caps w:val="0"/>
          <w:snapToGrid w:val="0"/>
          <w:color w:val="333333"/>
          <w:spacing w:val="0"/>
          <w:kern w:val="0"/>
          <w:sz w:val="32"/>
          <w:szCs w:val="32"/>
          <w:shd w:val="clear" w:fill="FFFFFF"/>
          <w:lang w:val="en-US" w:eastAsia="zh-CN" w:bidi="ar"/>
        </w:rPr>
        <w:t>200</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人，资产总额或年销售收入不超过人民币</w:t>
      </w:r>
      <w:r>
        <w:rPr>
          <w:rFonts w:hint="eastAsia" w:ascii="宋体" w:hAnsi="宋体" w:eastAsia="宋体" w:cs="宋体"/>
          <w:i w:val="0"/>
          <w:iCs w:val="0"/>
          <w:caps w:val="0"/>
          <w:snapToGrid w:val="0"/>
          <w:color w:val="333333"/>
          <w:spacing w:val="0"/>
          <w:kern w:val="0"/>
          <w:sz w:val="32"/>
          <w:szCs w:val="32"/>
          <w:shd w:val="clear" w:fill="FFFFFF"/>
          <w:lang w:val="en-US" w:eastAsia="zh-CN" w:bidi="ar"/>
        </w:rPr>
        <w:t>2000</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万元。该奖励与本措施第三条、第四条奖励不能同时享受。</w:t>
      </w:r>
      <w:r>
        <w:rPr>
          <w:rFonts w:hint="eastAsia" w:ascii="楷体_GB2312" w:hAnsi="Calibri" w:eastAsia="楷体_GB2312" w:cs="楷体_GB2312"/>
          <w:i w:val="0"/>
          <w:iCs w:val="0"/>
          <w:caps w:val="0"/>
          <w:snapToGrid w:val="0"/>
          <w:color w:val="333333"/>
          <w:spacing w:val="0"/>
          <w:kern w:val="0"/>
          <w:sz w:val="32"/>
          <w:szCs w:val="32"/>
          <w:shd w:val="clear" w:fill="FFFFFF"/>
          <w:lang w:val="en-US" w:eastAsia="zh-CN" w:bidi="ar"/>
        </w:rPr>
        <w:t>〔责任单位：市财政局、市科技局、市发展改革委、市政府金融办〕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Calibri" w:hAnsi="Calibri" w:cs="Calibri"/>
          <w:i w:val="0"/>
          <w:iCs w:val="0"/>
          <w:caps w:val="0"/>
          <w:color w:val="333333"/>
          <w:spacing w:val="0"/>
          <w:sz w:val="21"/>
          <w:szCs w:val="21"/>
        </w:rPr>
      </w:pPr>
      <w:r>
        <w:rPr>
          <w:rFonts w:hint="eastAsia" w:ascii="楷体_GB2312" w:hAnsi="Calibri" w:eastAsia="楷体_GB2312" w:cs="楷体_GB2312"/>
          <w:i w:val="0"/>
          <w:iCs w:val="0"/>
          <w:caps w:val="0"/>
          <w:snapToGrid w:val="0"/>
          <w:color w:val="333333"/>
          <w:spacing w:val="0"/>
          <w:kern w:val="0"/>
          <w:sz w:val="32"/>
          <w:szCs w:val="32"/>
          <w:shd w:val="clear" w:fill="FFFFFF"/>
          <w:lang w:val="en-US" w:eastAsia="zh-CN" w:bidi="ar"/>
        </w:rPr>
        <w:t>（七）优化基金产业发展空间布局。</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支持有条件的县（市、区）设立基金产业集聚区，提供注册地址、免费办公场所。鼓励私募股权投资基金或私募股权投资基金管理机构置办自用办公用房并出台奖补政策。支持赣州苏区振兴并购基金园、赣州数字金融产业园、和君基金村等基金特色园区合规发展。鼓励南康做优做强金融外包服务机构，服务私募基金行业发展。探索成立基金联盟或设立基金行业公会等组织，搭建基金管理机构交流互动平台。</w:t>
      </w:r>
      <w:r>
        <w:rPr>
          <w:rFonts w:hint="eastAsia" w:ascii="楷体_GB2312" w:hAnsi="Calibri" w:eastAsia="楷体_GB2312" w:cs="楷体_GB2312"/>
          <w:i w:val="0"/>
          <w:iCs w:val="0"/>
          <w:caps w:val="0"/>
          <w:snapToGrid w:val="0"/>
          <w:color w:val="333333"/>
          <w:spacing w:val="0"/>
          <w:kern w:val="0"/>
          <w:sz w:val="32"/>
          <w:szCs w:val="32"/>
          <w:shd w:val="clear" w:fill="FFFFFF"/>
          <w:lang w:val="en-US" w:eastAsia="zh-CN" w:bidi="ar"/>
        </w:rPr>
        <w:t>〔责任单位：市政府金融办、市行政审批局〕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Calibri" w:hAnsi="Calibri" w:cs="Calibri"/>
          <w:i w:val="0"/>
          <w:iCs w:val="0"/>
          <w:caps w:val="0"/>
          <w:color w:val="333333"/>
          <w:spacing w:val="0"/>
          <w:sz w:val="21"/>
          <w:szCs w:val="21"/>
        </w:rPr>
      </w:pPr>
      <w:r>
        <w:rPr>
          <w:rFonts w:hint="eastAsia" w:ascii="楷体_GB2312" w:hAnsi="Calibri" w:eastAsia="楷体_GB2312" w:cs="楷体_GB2312"/>
          <w:i w:val="0"/>
          <w:iCs w:val="0"/>
          <w:caps w:val="0"/>
          <w:snapToGrid w:val="0"/>
          <w:color w:val="333333"/>
          <w:spacing w:val="0"/>
          <w:kern w:val="0"/>
          <w:sz w:val="32"/>
          <w:szCs w:val="32"/>
          <w:shd w:val="clear" w:fill="FFFFFF"/>
          <w:lang w:val="en-US" w:eastAsia="zh-CN" w:bidi="ar"/>
        </w:rPr>
        <w:t>（八）加大对行业人才扶持奖励。</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对引荐赣州市外投资者来赣州投资并最终促成项目落户的基金管理团队，按我市招商政策有关规定给予奖励。支持招商贡献突出的基金管理团队（需在本市私募股权投资基金管理机构任职）参评金融人才，在评审中根据对赣州贡献情况适当予以加分，对经认定的金融人才按照规定给予奖励。相关高级管理人员，经认定符合条件的，可享受相关人才奖扶政策。</w:t>
      </w:r>
      <w:r>
        <w:rPr>
          <w:rFonts w:hint="eastAsia" w:ascii="楷体_GB2312" w:hAnsi="Calibri" w:eastAsia="楷体_GB2312" w:cs="楷体_GB2312"/>
          <w:i w:val="0"/>
          <w:iCs w:val="0"/>
          <w:caps w:val="0"/>
          <w:snapToGrid w:val="0"/>
          <w:color w:val="333333"/>
          <w:spacing w:val="0"/>
          <w:kern w:val="0"/>
          <w:sz w:val="32"/>
          <w:szCs w:val="32"/>
          <w:shd w:val="clear" w:fill="FFFFFF"/>
          <w:lang w:val="en-US" w:eastAsia="zh-CN" w:bidi="ar"/>
        </w:rPr>
        <w:t>〔责任单位：市委人才办、市政府金融办、市商务局、市财政局〕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Calibri" w:hAnsi="Calibri" w:cs="Calibri"/>
          <w:i w:val="0"/>
          <w:iCs w:val="0"/>
          <w:caps w:val="0"/>
          <w:color w:val="333333"/>
          <w:spacing w:val="0"/>
          <w:sz w:val="21"/>
          <w:szCs w:val="21"/>
        </w:rPr>
      </w:pPr>
      <w:r>
        <w:rPr>
          <w:rFonts w:hint="eastAsia" w:ascii="楷体_GB2312" w:hAnsi="Calibri" w:eastAsia="楷体_GB2312" w:cs="楷体_GB2312"/>
          <w:i w:val="0"/>
          <w:iCs w:val="0"/>
          <w:caps w:val="0"/>
          <w:snapToGrid w:val="0"/>
          <w:color w:val="333333"/>
          <w:spacing w:val="0"/>
          <w:kern w:val="0"/>
          <w:sz w:val="32"/>
          <w:szCs w:val="32"/>
          <w:shd w:val="clear" w:fill="FFFFFF"/>
          <w:lang w:val="en-US" w:eastAsia="zh-CN" w:bidi="ar"/>
        </w:rPr>
        <w:t>（九）落实优化行业税收政策。</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对在我市设立的私募股权投资基金或私募股权投资基金管理机构符合西部大开发税收优惠条件的，根据《关于延续西部大开发企业所得税政策的公告》，按照</w:t>
      </w:r>
      <w:r>
        <w:rPr>
          <w:rFonts w:hint="eastAsia" w:ascii="宋体" w:hAnsi="宋体" w:eastAsia="宋体" w:cs="宋体"/>
          <w:i w:val="0"/>
          <w:iCs w:val="0"/>
          <w:caps w:val="0"/>
          <w:snapToGrid w:val="0"/>
          <w:color w:val="333333"/>
          <w:spacing w:val="0"/>
          <w:kern w:val="0"/>
          <w:sz w:val="32"/>
          <w:szCs w:val="32"/>
          <w:shd w:val="clear" w:fill="FFFFFF"/>
          <w:lang w:val="en-US" w:eastAsia="zh-CN" w:bidi="ar"/>
        </w:rPr>
        <w:t>15%</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的税率征收企业所得税。</w:t>
      </w:r>
      <w:r>
        <w:rPr>
          <w:rFonts w:hint="eastAsia" w:ascii="楷体_GB2312" w:hAnsi="Calibri" w:eastAsia="楷体_GB2312" w:cs="楷体_GB2312"/>
          <w:i w:val="0"/>
          <w:iCs w:val="0"/>
          <w:caps w:val="0"/>
          <w:snapToGrid w:val="0"/>
          <w:color w:val="333333"/>
          <w:spacing w:val="0"/>
          <w:kern w:val="0"/>
          <w:sz w:val="32"/>
          <w:szCs w:val="32"/>
          <w:shd w:val="clear" w:fill="FFFFFF"/>
          <w:lang w:val="en-US" w:eastAsia="zh-CN" w:bidi="ar"/>
        </w:rPr>
        <w:t>〔责任单位：国家税务总局赣州市税务局、市财政局〕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snapToGrid w:val="0"/>
          <w:color w:val="333333"/>
          <w:spacing w:val="0"/>
          <w:kern w:val="0"/>
          <w:sz w:val="32"/>
          <w:szCs w:val="32"/>
          <w:shd w:val="clear" w:fill="FFFFFF"/>
          <w:lang w:val="en-US" w:eastAsia="zh-CN" w:bidi="ar"/>
        </w:rPr>
        <w:t>三、完善和营造良好营商环境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Calibri" w:hAnsi="Calibri" w:cs="Calibri"/>
          <w:i w:val="0"/>
          <w:iCs w:val="0"/>
          <w:caps w:val="0"/>
          <w:color w:val="333333"/>
          <w:spacing w:val="0"/>
          <w:sz w:val="21"/>
          <w:szCs w:val="21"/>
        </w:rPr>
      </w:pPr>
      <w:r>
        <w:rPr>
          <w:rFonts w:hint="eastAsia" w:ascii="楷体_GB2312" w:hAnsi="Calibri" w:eastAsia="楷体_GB2312" w:cs="楷体_GB2312"/>
          <w:i w:val="0"/>
          <w:iCs w:val="0"/>
          <w:caps w:val="0"/>
          <w:snapToGrid w:val="0"/>
          <w:color w:val="333333"/>
          <w:spacing w:val="0"/>
          <w:kern w:val="0"/>
          <w:sz w:val="32"/>
          <w:szCs w:val="32"/>
          <w:shd w:val="clear" w:fill="FFFFFF"/>
          <w:lang w:val="en-US" w:eastAsia="zh-CN" w:bidi="ar"/>
        </w:rPr>
        <w:t>（十）强化组织保障。</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市政府成立基金业发展工作领导小组，市政府常务副市长任组长，分管副市长任副组长，市政府对口副秘书长，发改、公安、财政、商务、国资、金融、行政审批、市场监管、</w:t>
      </w:r>
      <w:r>
        <w:rPr>
          <w:rFonts w:hint="default" w:ascii="Calibri" w:hAnsi="Calibri" w:cs="Calibri" w:eastAsiaTheme="minorEastAsia"/>
          <w:i w:val="0"/>
          <w:iCs w:val="0"/>
          <w:caps w:val="0"/>
          <w:snapToGrid w:val="0"/>
          <w:color w:val="333333"/>
          <w:spacing w:val="0"/>
          <w:kern w:val="0"/>
          <w:sz w:val="21"/>
          <w:szCs w:val="21"/>
          <w:u w:val="none"/>
          <w:shd w:val="clear" w:fill="FFFFFF"/>
          <w:lang w:val="en-US" w:eastAsia="zh-CN" w:bidi="ar"/>
        </w:rPr>
        <w:fldChar w:fldCharType="begin"/>
      </w:r>
      <w:r>
        <w:rPr>
          <w:rFonts w:hint="default" w:ascii="Calibri" w:hAnsi="Calibri" w:cs="Calibri" w:eastAsiaTheme="minorEastAsia"/>
          <w:i w:val="0"/>
          <w:iCs w:val="0"/>
          <w:caps w:val="0"/>
          <w:snapToGrid w:val="0"/>
          <w:color w:val="333333"/>
          <w:spacing w:val="0"/>
          <w:kern w:val="0"/>
          <w:sz w:val="21"/>
          <w:szCs w:val="21"/>
          <w:u w:val="none"/>
          <w:shd w:val="clear" w:fill="FFFFFF"/>
          <w:lang w:val="en-US" w:eastAsia="zh-CN" w:bidi="ar"/>
        </w:rPr>
        <w:instrText xml:space="preserve"> HYPERLINK "https://www.ganzhou.gov.cn/zfxxgk/sczgljg/201807/a3635599d4794790a15124fe9f53f5f1.shtml" \o "国家税务总局赣州市税务局" </w:instrText>
      </w:r>
      <w:r>
        <w:rPr>
          <w:rFonts w:hint="default" w:ascii="Calibri" w:hAnsi="Calibri" w:cs="Calibri" w:eastAsiaTheme="minorEastAsia"/>
          <w:i w:val="0"/>
          <w:iCs w:val="0"/>
          <w:caps w:val="0"/>
          <w:snapToGrid w:val="0"/>
          <w:color w:val="333333"/>
          <w:spacing w:val="0"/>
          <w:kern w:val="0"/>
          <w:sz w:val="21"/>
          <w:szCs w:val="21"/>
          <w:u w:val="none"/>
          <w:shd w:val="clear" w:fill="FFFFFF"/>
          <w:lang w:val="en-US" w:eastAsia="zh-CN" w:bidi="ar"/>
        </w:rPr>
        <w:fldChar w:fldCharType="separate"/>
      </w:r>
      <w:r>
        <w:rPr>
          <w:rStyle w:val="8"/>
          <w:rFonts w:hint="eastAsia" w:ascii="仿宋_GB2312" w:hAnsi="Calibri" w:eastAsia="仿宋_GB2312" w:cs="仿宋_GB2312"/>
          <w:i w:val="0"/>
          <w:iCs w:val="0"/>
          <w:caps w:val="0"/>
          <w:color w:val="333333"/>
          <w:spacing w:val="0"/>
          <w:sz w:val="32"/>
          <w:szCs w:val="32"/>
          <w:u w:val="none"/>
          <w:shd w:val="clear" w:fill="FFFFFF"/>
        </w:rPr>
        <w:t>税务</w:t>
      </w:r>
      <w:r>
        <w:rPr>
          <w:rFonts w:hint="default" w:ascii="Calibri" w:hAnsi="Calibri" w:cs="Calibri" w:eastAsiaTheme="minorEastAsia"/>
          <w:i w:val="0"/>
          <w:iCs w:val="0"/>
          <w:caps w:val="0"/>
          <w:snapToGrid w:val="0"/>
          <w:color w:val="333333"/>
          <w:spacing w:val="0"/>
          <w:kern w:val="0"/>
          <w:sz w:val="21"/>
          <w:szCs w:val="21"/>
          <w:u w:val="none"/>
          <w:shd w:val="clear" w:fill="FFFFFF"/>
          <w:lang w:val="en-US" w:eastAsia="zh-CN" w:bidi="ar"/>
        </w:rPr>
        <w:fldChar w:fldCharType="end"/>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人行赣州市中支，相关市属国企等部门为成员。领导小组办公室设在市政府金融办，承担市基金业发展工作领导小组的日常工作，统筹做好基金行业发展工作，建立跨部门协同机制，负责牵头本措施各项政策的落地执行，为基金业发展营造良好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Calibri" w:hAnsi="Calibri" w:cs="Calibri"/>
          <w:i w:val="0"/>
          <w:iCs w:val="0"/>
          <w:caps w:val="0"/>
          <w:color w:val="333333"/>
          <w:spacing w:val="0"/>
          <w:sz w:val="21"/>
          <w:szCs w:val="21"/>
        </w:rPr>
      </w:pPr>
      <w:r>
        <w:rPr>
          <w:rFonts w:hint="eastAsia" w:ascii="楷体_GB2312" w:hAnsi="Calibri" w:eastAsia="楷体_GB2312" w:cs="楷体_GB2312"/>
          <w:i w:val="0"/>
          <w:iCs w:val="0"/>
          <w:caps w:val="0"/>
          <w:snapToGrid w:val="0"/>
          <w:color w:val="333333"/>
          <w:spacing w:val="0"/>
          <w:kern w:val="0"/>
          <w:sz w:val="32"/>
          <w:szCs w:val="32"/>
          <w:shd w:val="clear" w:fill="FFFFFF"/>
          <w:lang w:val="en-US" w:eastAsia="zh-CN" w:bidi="ar"/>
        </w:rPr>
        <w:t>（十一）建立信息统计制度。</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每季度首月</w:t>
      </w:r>
      <w:r>
        <w:rPr>
          <w:rFonts w:hint="eastAsia" w:ascii="宋体" w:hAnsi="宋体" w:eastAsia="宋体" w:cs="宋体"/>
          <w:i w:val="0"/>
          <w:iCs w:val="0"/>
          <w:caps w:val="0"/>
          <w:snapToGrid w:val="0"/>
          <w:color w:val="333333"/>
          <w:spacing w:val="0"/>
          <w:kern w:val="0"/>
          <w:sz w:val="32"/>
          <w:szCs w:val="32"/>
          <w:shd w:val="clear" w:fill="FFFFFF"/>
          <w:lang w:val="en-US" w:eastAsia="zh-CN" w:bidi="ar"/>
        </w:rPr>
        <w:t>30</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日前各县（市、区）政府向领导小组办公室报送本辖区私募股权投资基金或私募股权投资基金管理机构设立经营等情况。市行政审批部门将内资企业、</w:t>
      </w:r>
      <w:r>
        <w:rPr>
          <w:rFonts w:hint="eastAsia" w:ascii="仿宋_GB2312" w:hAnsi="Calibri" w:eastAsia="仿宋_GB2312" w:cs="仿宋_GB2312"/>
          <w:i w:val="0"/>
          <w:iCs w:val="0"/>
          <w:caps w:val="0"/>
          <w:snapToGrid w:val="0"/>
          <w:color w:val="333333"/>
          <w:spacing w:val="-6"/>
          <w:kern w:val="0"/>
          <w:sz w:val="32"/>
          <w:szCs w:val="32"/>
          <w:shd w:val="clear" w:fill="FFFFFF"/>
          <w:lang w:val="en-US" w:eastAsia="zh-CN" w:bidi="ar"/>
        </w:rPr>
        <w:t>市场监管部门将外商投资企业的私募股权投资基金或私募股权投资基金管理机构相关登记注册等情况报送至领导小组办公室。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Calibri" w:hAnsi="Calibri" w:cs="Calibri"/>
          <w:i w:val="0"/>
          <w:iCs w:val="0"/>
          <w:caps w:val="0"/>
          <w:color w:val="333333"/>
          <w:spacing w:val="0"/>
          <w:sz w:val="21"/>
          <w:szCs w:val="21"/>
        </w:rPr>
      </w:pPr>
      <w:r>
        <w:rPr>
          <w:rFonts w:hint="eastAsia" w:ascii="楷体_GB2312" w:hAnsi="Calibri" w:eastAsia="楷体_GB2312" w:cs="楷体_GB2312"/>
          <w:i w:val="0"/>
          <w:iCs w:val="0"/>
          <w:caps w:val="0"/>
          <w:snapToGrid w:val="0"/>
          <w:color w:val="333333"/>
          <w:spacing w:val="0"/>
          <w:kern w:val="0"/>
          <w:sz w:val="32"/>
          <w:szCs w:val="32"/>
          <w:shd w:val="clear" w:fill="FFFFFF"/>
          <w:lang w:val="en-US" w:eastAsia="zh-CN" w:bidi="ar"/>
        </w:rPr>
        <w:t>（十二）给予商事登记便利。</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在市、县行政服务大厅开辟专门窗口，简化业务流程，为私募股权投资基金及其管理机构登记注册、变更、刻印公章等提供“一站式、一条龙”服务。在资料齐全的情况下，相关登记注册、变更工作原则上要在</w:t>
      </w:r>
      <w:r>
        <w:rPr>
          <w:rFonts w:hint="eastAsia" w:ascii="宋体" w:hAnsi="宋体" w:eastAsia="宋体" w:cs="宋体"/>
          <w:i w:val="0"/>
          <w:iCs w:val="0"/>
          <w:caps w:val="0"/>
          <w:snapToGrid w:val="0"/>
          <w:color w:val="333333"/>
          <w:spacing w:val="0"/>
          <w:kern w:val="0"/>
          <w:sz w:val="32"/>
          <w:szCs w:val="32"/>
          <w:shd w:val="clear" w:fill="FFFFFF"/>
          <w:lang w:val="en-US" w:eastAsia="zh-CN" w:bidi="ar"/>
        </w:rPr>
        <w:t>2</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个工作日内完成，形成有利于私募股权投资基金或私募股权投资基金管理机构集聚和健康有序发展的市场环境。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snapToGrid w:val="0"/>
          <w:color w:val="333333"/>
          <w:spacing w:val="0"/>
          <w:kern w:val="0"/>
          <w:sz w:val="32"/>
          <w:szCs w:val="32"/>
          <w:shd w:val="clear" w:fill="FFFFFF"/>
          <w:lang w:val="en-US" w:eastAsia="zh-CN" w:bidi="ar"/>
        </w:rPr>
        <w:t>四、其他说明事项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Calibri" w:hAnsi="Calibri" w:cs="Calibri"/>
          <w:i w:val="0"/>
          <w:iCs w:val="0"/>
          <w:caps w:val="0"/>
          <w:color w:val="333333"/>
          <w:spacing w:val="0"/>
          <w:sz w:val="21"/>
          <w:szCs w:val="21"/>
        </w:rPr>
      </w:pPr>
      <w:r>
        <w:rPr>
          <w:rFonts w:hint="eastAsia" w:ascii="楷体_GB2312" w:hAnsi="Calibri" w:eastAsia="楷体_GB2312" w:cs="楷体_GB2312"/>
          <w:i w:val="0"/>
          <w:iCs w:val="0"/>
          <w:caps w:val="0"/>
          <w:snapToGrid w:val="0"/>
          <w:color w:val="333333"/>
          <w:spacing w:val="0"/>
          <w:kern w:val="0"/>
          <w:sz w:val="32"/>
          <w:szCs w:val="32"/>
          <w:shd w:val="clear" w:fill="FFFFFF"/>
          <w:lang w:val="en-US" w:eastAsia="zh-CN" w:bidi="ar"/>
        </w:rPr>
        <w:t>（十三）适用对象。</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本措施适用对象为私募股权投资基金和私募股权投资基金管理机构，市、县政府（含国企）撬动社会资本设立的基金及其管理机构同样适用本措施。申请相关奖励的私募股权投资基金或私募股权投资基金管理机构应满足以下条件：需在中国证券投资基金业协会备案；天使和创业股权投资基金的注册资本（出资金额）不低于人民币</w:t>
      </w:r>
      <w:r>
        <w:rPr>
          <w:rFonts w:hint="eastAsia" w:ascii="宋体" w:hAnsi="宋体" w:eastAsia="宋体" w:cs="宋体"/>
          <w:i w:val="0"/>
          <w:iCs w:val="0"/>
          <w:caps w:val="0"/>
          <w:snapToGrid w:val="0"/>
          <w:color w:val="333333"/>
          <w:spacing w:val="0"/>
          <w:kern w:val="0"/>
          <w:sz w:val="32"/>
          <w:szCs w:val="32"/>
          <w:shd w:val="clear" w:fill="FFFFFF"/>
          <w:lang w:val="en-US" w:eastAsia="zh-CN" w:bidi="ar"/>
        </w:rPr>
        <w:t>2000</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万元，实缴资金不低于</w:t>
      </w:r>
      <w:r>
        <w:rPr>
          <w:rFonts w:hint="eastAsia" w:ascii="宋体" w:hAnsi="宋体" w:eastAsia="宋体" w:cs="宋体"/>
          <w:i w:val="0"/>
          <w:iCs w:val="0"/>
          <w:caps w:val="0"/>
          <w:snapToGrid w:val="0"/>
          <w:color w:val="333333"/>
          <w:spacing w:val="0"/>
          <w:kern w:val="0"/>
          <w:sz w:val="32"/>
          <w:szCs w:val="32"/>
          <w:shd w:val="clear" w:fill="FFFFFF"/>
          <w:lang w:val="en-US" w:eastAsia="zh-CN" w:bidi="ar"/>
        </w:rPr>
        <w:t>1000</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万元；其他私募股权投资基金的注册资本（出资金额）不低于人民币</w:t>
      </w:r>
      <w:r>
        <w:rPr>
          <w:rFonts w:hint="eastAsia" w:ascii="宋体" w:hAnsi="宋体" w:eastAsia="宋体" w:cs="宋体"/>
          <w:i w:val="0"/>
          <w:iCs w:val="0"/>
          <w:caps w:val="0"/>
          <w:snapToGrid w:val="0"/>
          <w:color w:val="333333"/>
          <w:spacing w:val="0"/>
          <w:kern w:val="0"/>
          <w:sz w:val="32"/>
          <w:szCs w:val="32"/>
          <w:shd w:val="clear" w:fill="FFFFFF"/>
          <w:lang w:val="en-US" w:eastAsia="zh-CN" w:bidi="ar"/>
        </w:rPr>
        <w:t>5000</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万元，实缴资金不低于</w:t>
      </w:r>
      <w:r>
        <w:rPr>
          <w:rFonts w:hint="eastAsia" w:ascii="宋体" w:hAnsi="宋体" w:eastAsia="宋体" w:cs="宋体"/>
          <w:i w:val="0"/>
          <w:iCs w:val="0"/>
          <w:caps w:val="0"/>
          <w:snapToGrid w:val="0"/>
          <w:color w:val="333333"/>
          <w:spacing w:val="0"/>
          <w:kern w:val="0"/>
          <w:sz w:val="32"/>
          <w:szCs w:val="32"/>
          <w:shd w:val="clear" w:fill="FFFFFF"/>
          <w:lang w:val="en-US" w:eastAsia="zh-CN" w:bidi="ar"/>
        </w:rPr>
        <w:t>2000</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万元；私募股权投资基金管理机构，实缴资本应不低于人民币</w:t>
      </w:r>
      <w:r>
        <w:rPr>
          <w:rFonts w:hint="eastAsia" w:ascii="宋体" w:hAnsi="宋体" w:eastAsia="宋体" w:cs="宋体"/>
          <w:i w:val="0"/>
          <w:iCs w:val="0"/>
          <w:caps w:val="0"/>
          <w:snapToGrid w:val="0"/>
          <w:color w:val="333333"/>
          <w:spacing w:val="0"/>
          <w:kern w:val="0"/>
          <w:sz w:val="32"/>
          <w:szCs w:val="32"/>
          <w:shd w:val="clear" w:fill="FFFFFF"/>
          <w:lang w:val="en-US" w:eastAsia="zh-CN" w:bidi="ar"/>
        </w:rPr>
        <w:t>1000</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万元。本措施所称高级管理人员，指在私募股权投资基金管理机构担任董事长（未设立董事会企业的执行董事）、副董事长、总经理、副总经理、财务总监、投资总监、风险总监、执行事务合伙人及同等职务人员，高级管理人员需按照规定进行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Calibri" w:hAnsi="Calibri" w:cs="Calibri"/>
          <w:i w:val="0"/>
          <w:iCs w:val="0"/>
          <w:caps w:val="0"/>
          <w:color w:val="333333"/>
          <w:spacing w:val="0"/>
          <w:sz w:val="21"/>
          <w:szCs w:val="21"/>
        </w:rPr>
      </w:pPr>
      <w:r>
        <w:rPr>
          <w:rFonts w:hint="eastAsia" w:ascii="楷体_GB2312" w:hAnsi="Calibri" w:eastAsia="楷体_GB2312" w:cs="楷体_GB2312"/>
          <w:i w:val="0"/>
          <w:iCs w:val="0"/>
          <w:caps w:val="0"/>
          <w:snapToGrid w:val="0"/>
          <w:color w:val="333333"/>
          <w:spacing w:val="0"/>
          <w:kern w:val="0"/>
          <w:sz w:val="32"/>
          <w:szCs w:val="32"/>
          <w:shd w:val="clear" w:fill="FFFFFF"/>
          <w:lang w:val="en-US" w:eastAsia="zh-CN" w:bidi="ar"/>
        </w:rPr>
        <w:t>（十四）享受奖励要求。</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本措施所示的各类扶持奖励政策，同一项目最高奖励比例不超过对地方的财政贡献。享受扶持奖励政策的私募股权投资基金或私募股权投资基金管理机构</w:t>
      </w:r>
      <w:r>
        <w:rPr>
          <w:rFonts w:hint="eastAsia" w:ascii="宋体" w:hAnsi="宋体" w:eastAsia="宋体" w:cs="宋体"/>
          <w:i w:val="0"/>
          <w:iCs w:val="0"/>
          <w:caps w:val="0"/>
          <w:snapToGrid w:val="0"/>
          <w:color w:val="333333"/>
          <w:spacing w:val="0"/>
          <w:kern w:val="0"/>
          <w:sz w:val="32"/>
          <w:szCs w:val="32"/>
          <w:shd w:val="clear" w:fill="FFFFFF"/>
          <w:lang w:val="en-US" w:eastAsia="zh-CN" w:bidi="ar"/>
        </w:rPr>
        <w:t>5</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年内不得迁离本市。享受扶持奖励政策的企业和个人不履行承诺的义务或采取弄虚作假等手段骗取优惠政策的，将勒令整改并收回已享受的奖励或补贴。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Calibri" w:hAnsi="Calibri" w:cs="Calibri"/>
          <w:i w:val="0"/>
          <w:iCs w:val="0"/>
          <w:caps w:val="0"/>
          <w:color w:val="333333"/>
          <w:spacing w:val="0"/>
          <w:sz w:val="21"/>
          <w:szCs w:val="21"/>
        </w:rPr>
      </w:pPr>
      <w:r>
        <w:rPr>
          <w:rFonts w:hint="eastAsia" w:ascii="楷体_GB2312" w:hAnsi="Calibri" w:eastAsia="楷体_GB2312" w:cs="楷体_GB2312"/>
          <w:i w:val="0"/>
          <w:iCs w:val="0"/>
          <w:caps w:val="0"/>
          <w:snapToGrid w:val="0"/>
          <w:color w:val="333333"/>
          <w:spacing w:val="0"/>
          <w:kern w:val="0"/>
          <w:sz w:val="32"/>
          <w:szCs w:val="32"/>
          <w:shd w:val="clear" w:fill="FFFFFF"/>
          <w:lang w:val="en-US" w:eastAsia="zh-CN" w:bidi="ar"/>
        </w:rPr>
        <w:t>（十五）申请流程。</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私募股权投资基金或私募股权投资基金管理机构申请市级财政奖励的，应分别于每年</w:t>
      </w:r>
      <w:r>
        <w:rPr>
          <w:rFonts w:hint="eastAsia" w:ascii="宋体" w:hAnsi="宋体" w:eastAsia="宋体" w:cs="宋体"/>
          <w:i w:val="0"/>
          <w:iCs w:val="0"/>
          <w:caps w:val="0"/>
          <w:snapToGrid w:val="0"/>
          <w:color w:val="333333"/>
          <w:spacing w:val="0"/>
          <w:kern w:val="0"/>
          <w:sz w:val="32"/>
          <w:szCs w:val="32"/>
          <w:shd w:val="clear" w:fill="FFFFFF"/>
          <w:lang w:val="en-US" w:eastAsia="zh-CN" w:bidi="ar"/>
        </w:rPr>
        <w:t>4</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月和</w:t>
      </w:r>
      <w:r>
        <w:rPr>
          <w:rFonts w:hint="eastAsia" w:ascii="宋体" w:hAnsi="宋体" w:eastAsia="宋体" w:cs="宋体"/>
          <w:i w:val="0"/>
          <w:iCs w:val="0"/>
          <w:caps w:val="0"/>
          <w:snapToGrid w:val="0"/>
          <w:color w:val="333333"/>
          <w:spacing w:val="0"/>
          <w:kern w:val="0"/>
          <w:sz w:val="32"/>
          <w:szCs w:val="32"/>
          <w:shd w:val="clear" w:fill="FFFFFF"/>
          <w:lang w:val="en-US" w:eastAsia="zh-CN" w:bidi="ar"/>
        </w:rPr>
        <w:t>10</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月底前向各县（市、区）金融服务中心和财政局进行申报，各县（市、区）金融服务中心和财政局按有关程序审核后共同向市政府金融办申报，市政府金融办初审后提交市财政局复核，复核通过后按照规定拨付奖励资金。私募股权投资基金或私募股权投资基金管理机构申请县（市、区）级财政奖励且符合奖励条件的，各县（市、区）政府要在</w:t>
      </w:r>
      <w:r>
        <w:rPr>
          <w:rFonts w:hint="eastAsia" w:ascii="宋体" w:hAnsi="宋体" w:eastAsia="宋体" w:cs="宋体"/>
          <w:i w:val="0"/>
          <w:iCs w:val="0"/>
          <w:caps w:val="0"/>
          <w:snapToGrid w:val="0"/>
          <w:color w:val="333333"/>
          <w:spacing w:val="0"/>
          <w:kern w:val="0"/>
          <w:sz w:val="32"/>
          <w:szCs w:val="32"/>
          <w:shd w:val="clear" w:fill="FFFFFF"/>
          <w:lang w:val="en-US" w:eastAsia="zh-CN" w:bidi="ar"/>
        </w:rPr>
        <w:t>5</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个工作日内兑现奖励。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Calibri" w:hAnsi="Calibri" w:cs="Calibri"/>
          <w:i w:val="0"/>
          <w:iCs w:val="0"/>
          <w:caps w:val="0"/>
          <w:color w:val="333333"/>
          <w:spacing w:val="0"/>
          <w:sz w:val="21"/>
          <w:szCs w:val="21"/>
        </w:rPr>
      </w:pP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（十六）各县（市、区）、各相关单位可根据本若干措施精神，按照事权原则制定具体实施细则。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Calibri" w:hAnsi="Calibri" w:cs="Calibri"/>
          <w:i w:val="0"/>
          <w:iCs w:val="0"/>
          <w:caps w:val="0"/>
          <w:color w:val="333333"/>
          <w:spacing w:val="0"/>
          <w:sz w:val="21"/>
          <w:szCs w:val="21"/>
        </w:rPr>
      </w:pP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（十七）本措施自</w:t>
      </w:r>
      <w:r>
        <w:rPr>
          <w:rFonts w:hint="eastAsia" w:ascii="宋体" w:hAnsi="宋体" w:eastAsia="宋体" w:cs="宋体"/>
          <w:i w:val="0"/>
          <w:iCs w:val="0"/>
          <w:caps w:val="0"/>
          <w:snapToGrid w:val="0"/>
          <w:color w:val="333333"/>
          <w:spacing w:val="0"/>
          <w:kern w:val="0"/>
          <w:sz w:val="32"/>
          <w:szCs w:val="32"/>
          <w:shd w:val="clear" w:fill="FFFFFF"/>
          <w:lang w:val="en-US" w:eastAsia="zh-CN" w:bidi="ar"/>
        </w:rPr>
        <w:t>2023</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年</w:t>
      </w:r>
      <w:r>
        <w:rPr>
          <w:rFonts w:hint="eastAsia" w:ascii="宋体" w:hAnsi="宋体" w:eastAsia="宋体" w:cs="宋体"/>
          <w:i w:val="0"/>
          <w:iCs w:val="0"/>
          <w:caps w:val="0"/>
          <w:snapToGrid w:val="0"/>
          <w:color w:val="333333"/>
          <w:spacing w:val="0"/>
          <w:kern w:val="0"/>
          <w:sz w:val="32"/>
          <w:szCs w:val="32"/>
          <w:shd w:val="clear" w:fill="FFFFFF"/>
          <w:lang w:val="en-US" w:eastAsia="zh-CN" w:bidi="ar"/>
        </w:rPr>
        <w:t>6</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月</w:t>
      </w:r>
      <w:r>
        <w:rPr>
          <w:rFonts w:hint="eastAsia" w:ascii="宋体" w:hAnsi="宋体" w:eastAsia="宋体" w:cs="宋体"/>
          <w:i w:val="0"/>
          <w:iCs w:val="0"/>
          <w:caps w:val="0"/>
          <w:snapToGrid w:val="0"/>
          <w:color w:val="333333"/>
          <w:spacing w:val="0"/>
          <w:kern w:val="0"/>
          <w:sz w:val="32"/>
          <w:szCs w:val="32"/>
          <w:shd w:val="clear" w:fill="FFFFFF"/>
          <w:lang w:val="en-US" w:eastAsia="zh-CN" w:bidi="ar"/>
        </w:rPr>
        <w:t>1</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日起施行，有效期</w:t>
      </w:r>
      <w:r>
        <w:rPr>
          <w:rFonts w:hint="eastAsia" w:ascii="宋体" w:hAnsi="宋体" w:eastAsia="宋体" w:cs="宋体"/>
          <w:i w:val="0"/>
          <w:iCs w:val="0"/>
          <w:caps w:val="0"/>
          <w:snapToGrid w:val="0"/>
          <w:color w:val="333333"/>
          <w:spacing w:val="0"/>
          <w:kern w:val="0"/>
          <w:sz w:val="32"/>
          <w:szCs w:val="32"/>
          <w:shd w:val="clear" w:fill="FFFFFF"/>
          <w:lang w:val="en-US" w:eastAsia="zh-CN" w:bidi="ar"/>
        </w:rPr>
        <w:t>5</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年。本措施实施后，此前印发的《赣州市进一步促进私募投资基金业发展若干措施》（赣市府办发〔</w:t>
      </w:r>
      <w:r>
        <w:rPr>
          <w:rFonts w:hint="eastAsia" w:ascii="宋体" w:hAnsi="宋体" w:eastAsia="宋体" w:cs="宋体"/>
          <w:i w:val="0"/>
          <w:iCs w:val="0"/>
          <w:caps w:val="0"/>
          <w:snapToGrid w:val="0"/>
          <w:color w:val="333333"/>
          <w:spacing w:val="0"/>
          <w:kern w:val="0"/>
          <w:sz w:val="32"/>
          <w:szCs w:val="32"/>
          <w:shd w:val="clear" w:fill="FFFFFF"/>
          <w:lang w:val="en-US" w:eastAsia="zh-CN" w:bidi="ar"/>
        </w:rPr>
        <w:t>2016</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w:t>
      </w:r>
      <w:r>
        <w:rPr>
          <w:rFonts w:hint="eastAsia" w:ascii="宋体" w:hAnsi="宋体" w:eastAsia="宋体" w:cs="宋体"/>
          <w:i w:val="0"/>
          <w:iCs w:val="0"/>
          <w:caps w:val="0"/>
          <w:snapToGrid w:val="0"/>
          <w:color w:val="333333"/>
          <w:spacing w:val="0"/>
          <w:kern w:val="0"/>
          <w:sz w:val="32"/>
          <w:szCs w:val="32"/>
          <w:shd w:val="clear" w:fill="FFFFFF"/>
          <w:lang w:val="en-US" w:eastAsia="zh-CN" w:bidi="ar"/>
        </w:rPr>
        <w:t>3</w:t>
      </w:r>
      <w:r>
        <w:rPr>
          <w:rFonts w:hint="eastAsia" w:ascii="仿宋_GB2312" w:hAnsi="Calibri" w:eastAsia="仿宋_GB2312" w:cs="仿宋_GB2312"/>
          <w:i w:val="0"/>
          <w:iCs w:val="0"/>
          <w:caps w:val="0"/>
          <w:snapToGrid w:val="0"/>
          <w:color w:val="333333"/>
          <w:spacing w:val="0"/>
          <w:kern w:val="0"/>
          <w:sz w:val="32"/>
          <w:szCs w:val="32"/>
          <w:shd w:val="clear" w:fill="FFFFFF"/>
          <w:lang w:val="en-US" w:eastAsia="zh-CN" w:bidi="ar"/>
        </w:rPr>
        <w:t>号）同时废止。</w:t>
      </w:r>
    </w:p>
    <w:p>
      <w:pPr>
        <w:spacing w:line="240" w:lineRule="auto"/>
        <w:rPr>
          <w:rFonts w:ascii="仿宋_GB2312" w:eastAsia="仿宋_GB2312"/>
          <w:sz w:val="21"/>
          <w:szCs w:val="21"/>
        </w:rPr>
      </w:pPr>
    </w:p>
    <w:p>
      <w:pPr>
        <w:pBdr>
          <w:top w:val="none" w:color="auto" w:sz="0" w:space="0"/>
          <w:bottom w:val="none" w:color="auto" w:sz="0" w:space="0"/>
          <w:between w:val="none" w:color="auto" w:sz="0" w:space="0"/>
        </w:pBdr>
        <w:spacing w:line="240" w:lineRule="auto"/>
        <w:ind w:firstLine="0" w:firstLineChars="0"/>
      </w:pPr>
    </w:p>
    <w:sectPr>
      <w:footerReference r:id="rId3" w:type="default"/>
      <w:footerReference r:id="rId4" w:type="even"/>
      <w:pgSz w:w="11906" w:h="16838"/>
      <w:pgMar w:top="1440" w:right="1797" w:bottom="1304"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方正书宋繁体">
    <w:panose1 w:val="02010601030101010101"/>
    <w:charset w:val="86"/>
    <w:family w:val="auto"/>
    <w:pitch w:val="default"/>
    <w:sig w:usb0="00000001" w:usb1="080E0000" w:usb2="00000000" w:usb3="00000000" w:csb0="00040000" w:csb1="00000000"/>
  </w:font>
  <w:font w:name="方正宋三简体">
    <w:panose1 w:val="02010601030101010101"/>
    <w:charset w:val="86"/>
    <w:family w:val="auto"/>
    <w:pitch w:val="default"/>
    <w:sig w:usb0="00000001" w:usb1="080E0000" w:usb2="00000000" w:usb3="00000000" w:csb0="00040000" w:csb1="00000000"/>
  </w:font>
  <w:font w:name="方正宋黑简体">
    <w:panose1 w:val="02010601030101010101"/>
    <w:charset w:val="86"/>
    <w:family w:val="auto"/>
    <w:pitch w:val="default"/>
    <w:sig w:usb0="00000001" w:usb1="080E0000" w:usb2="00000000" w:usb3="00000000" w:csb0="00040000" w:csb1="00000000"/>
  </w:font>
  <w:font w:name="方正中等线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大标宋繁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0883849"/>
    </w:sdtPr>
    <w:sdtEndPr>
      <w:rPr>
        <w:rFonts w:asciiTheme="minorEastAsia" w:hAnsiTheme="minorEastAsia"/>
        <w:sz w:val="24"/>
        <w:szCs w:val="24"/>
      </w:rPr>
    </w:sdtEndPr>
    <w:sdtContent>
      <w:p>
        <w:pPr>
          <w:pStyle w:val="4"/>
          <w:jc w:val="right"/>
        </w:pPr>
      </w:p>
      <w:p>
        <w:pPr>
          <w:pStyle w:val="4"/>
          <w:jc w:val="right"/>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PAGE   \* MERGEFORMAT </w:instrText>
        </w:r>
        <w:r>
          <w:rPr>
            <w:rFonts w:asciiTheme="minorEastAsia" w:hAnsiTheme="minorEastAsia"/>
            <w:sz w:val="24"/>
            <w:szCs w:val="24"/>
          </w:rPr>
          <w:fldChar w:fldCharType="separate"/>
        </w:r>
        <w:r>
          <w:rPr>
            <w:rFonts w:asciiTheme="minorEastAsia" w:hAnsiTheme="minorEastAsia"/>
            <w:sz w:val="24"/>
            <w:szCs w:val="24"/>
            <w:lang w:val="zh-CN"/>
          </w:rPr>
          <w:t>-</w:t>
        </w:r>
        <w:r>
          <w:rPr>
            <w:rFonts w:asciiTheme="minorEastAsia" w:hAnsiTheme="minorEastAsia"/>
            <w:sz w:val="24"/>
            <w:szCs w:val="24"/>
          </w:rPr>
          <w:t xml:space="preserve"> 1 -</w:t>
        </w:r>
        <w:r>
          <w:rPr>
            <w:rFonts w:asciiTheme="minorEastAsia" w:hAnsiTheme="minorEastAsia"/>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0883852"/>
    </w:sdtPr>
    <w:sdtEndPr>
      <w:rPr>
        <w:rFonts w:hint="eastAsia" w:asciiTheme="minorEastAsia" w:hAnsiTheme="minorEastAsia"/>
        <w:sz w:val="21"/>
      </w:rPr>
    </w:sdtEndPr>
    <w:sdtContent>
      <w:p>
        <w:pPr>
          <w:pStyle w:val="4"/>
          <w:rPr>
            <w:rFonts w:asciiTheme="minorEastAsia" w:hAnsiTheme="minorEastAsia"/>
            <w:sz w:val="21"/>
          </w:rPr>
        </w:pPr>
        <w:r>
          <w:rPr>
            <w:rFonts w:hint="eastAsia" w:asciiTheme="minorEastAsia" w:hAnsiTheme="minorEastAsia"/>
            <w:sz w:val="24"/>
          </w:rPr>
          <w:fldChar w:fldCharType="begin"/>
        </w:r>
        <w:r>
          <w:rPr>
            <w:rFonts w:hint="eastAsia" w:asciiTheme="minorEastAsia" w:hAnsiTheme="minorEastAsia"/>
            <w:sz w:val="24"/>
          </w:rPr>
          <w:instrText xml:space="preserve"> PAGE   \* MERGEFORMAT </w:instrText>
        </w:r>
        <w:r>
          <w:rPr>
            <w:rFonts w:hint="eastAsia" w:asciiTheme="minorEastAsia" w:hAnsiTheme="minorEastAsia"/>
            <w:sz w:val="24"/>
          </w:rPr>
          <w:fldChar w:fldCharType="separate"/>
        </w:r>
        <w:r>
          <w:rPr>
            <w:rFonts w:asciiTheme="minorEastAsia" w:hAnsiTheme="minorEastAsia"/>
            <w:sz w:val="24"/>
            <w:lang w:val="zh-CN"/>
          </w:rPr>
          <w:t>-</w:t>
        </w:r>
        <w:r>
          <w:rPr>
            <w:rFonts w:asciiTheme="minorEastAsia" w:hAnsiTheme="minorEastAsia"/>
            <w:sz w:val="24"/>
          </w:rPr>
          <w:t xml:space="preserve"> 10 -</w:t>
        </w:r>
        <w:r>
          <w:rPr>
            <w:rFonts w:hint="eastAsia" w:asciiTheme="minorEastAsia" w:hAnsiTheme="minorEastAsia"/>
            <w:sz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lMjRkZTg4OTEzY2YzZjFkODQzZjdkZWU2NTM1NTYifQ=="/>
  </w:docVars>
  <w:rsids>
    <w:rsidRoot w:val="00CC7B46"/>
    <w:rsid w:val="00005C52"/>
    <w:rsid w:val="00017FF6"/>
    <w:rsid w:val="00022506"/>
    <w:rsid w:val="00040878"/>
    <w:rsid w:val="000426B7"/>
    <w:rsid w:val="00055253"/>
    <w:rsid w:val="00066ABF"/>
    <w:rsid w:val="00071DA8"/>
    <w:rsid w:val="00071F14"/>
    <w:rsid w:val="000F049B"/>
    <w:rsid w:val="000F2A69"/>
    <w:rsid w:val="00111E2F"/>
    <w:rsid w:val="00120172"/>
    <w:rsid w:val="0012230A"/>
    <w:rsid w:val="001268D6"/>
    <w:rsid w:val="00132B60"/>
    <w:rsid w:val="00140C04"/>
    <w:rsid w:val="00144D04"/>
    <w:rsid w:val="00145D82"/>
    <w:rsid w:val="001620E4"/>
    <w:rsid w:val="00172689"/>
    <w:rsid w:val="00186C17"/>
    <w:rsid w:val="00190569"/>
    <w:rsid w:val="001B5240"/>
    <w:rsid w:val="001F66D5"/>
    <w:rsid w:val="00215F62"/>
    <w:rsid w:val="002222B8"/>
    <w:rsid w:val="00222309"/>
    <w:rsid w:val="00251393"/>
    <w:rsid w:val="002C3050"/>
    <w:rsid w:val="002C58E0"/>
    <w:rsid w:val="002C7369"/>
    <w:rsid w:val="002D27B5"/>
    <w:rsid w:val="00332FA8"/>
    <w:rsid w:val="003331B4"/>
    <w:rsid w:val="003433B4"/>
    <w:rsid w:val="00345D23"/>
    <w:rsid w:val="003B0011"/>
    <w:rsid w:val="003C4B84"/>
    <w:rsid w:val="003C7D8C"/>
    <w:rsid w:val="003E3D31"/>
    <w:rsid w:val="00417013"/>
    <w:rsid w:val="00422948"/>
    <w:rsid w:val="00422B18"/>
    <w:rsid w:val="00427A9D"/>
    <w:rsid w:val="00432A26"/>
    <w:rsid w:val="0043383C"/>
    <w:rsid w:val="0043612B"/>
    <w:rsid w:val="00443916"/>
    <w:rsid w:val="00462A9C"/>
    <w:rsid w:val="004766E5"/>
    <w:rsid w:val="004A6307"/>
    <w:rsid w:val="004C0B2C"/>
    <w:rsid w:val="004E100D"/>
    <w:rsid w:val="0055675C"/>
    <w:rsid w:val="005822DF"/>
    <w:rsid w:val="00592139"/>
    <w:rsid w:val="005E232A"/>
    <w:rsid w:val="005F7B41"/>
    <w:rsid w:val="006277FC"/>
    <w:rsid w:val="006401FD"/>
    <w:rsid w:val="006649A2"/>
    <w:rsid w:val="006A300A"/>
    <w:rsid w:val="006A5F53"/>
    <w:rsid w:val="006B0A73"/>
    <w:rsid w:val="006C162B"/>
    <w:rsid w:val="00734615"/>
    <w:rsid w:val="00762B50"/>
    <w:rsid w:val="0076633C"/>
    <w:rsid w:val="00805426"/>
    <w:rsid w:val="008065E9"/>
    <w:rsid w:val="00806C1B"/>
    <w:rsid w:val="008101A6"/>
    <w:rsid w:val="00823DB7"/>
    <w:rsid w:val="008303A3"/>
    <w:rsid w:val="0084629C"/>
    <w:rsid w:val="008C144D"/>
    <w:rsid w:val="008F24A7"/>
    <w:rsid w:val="00910616"/>
    <w:rsid w:val="00936732"/>
    <w:rsid w:val="00937C84"/>
    <w:rsid w:val="00940213"/>
    <w:rsid w:val="00965991"/>
    <w:rsid w:val="00991BDA"/>
    <w:rsid w:val="00A05D65"/>
    <w:rsid w:val="00A075F7"/>
    <w:rsid w:val="00A8007D"/>
    <w:rsid w:val="00A82292"/>
    <w:rsid w:val="00A95FA9"/>
    <w:rsid w:val="00AA62F6"/>
    <w:rsid w:val="00AB5CF0"/>
    <w:rsid w:val="00AC4449"/>
    <w:rsid w:val="00B13042"/>
    <w:rsid w:val="00B36C9C"/>
    <w:rsid w:val="00B450AD"/>
    <w:rsid w:val="00B765F9"/>
    <w:rsid w:val="00B8338C"/>
    <w:rsid w:val="00BA080E"/>
    <w:rsid w:val="00BB2447"/>
    <w:rsid w:val="00BE05A9"/>
    <w:rsid w:val="00C12DE9"/>
    <w:rsid w:val="00C15ECC"/>
    <w:rsid w:val="00C164E4"/>
    <w:rsid w:val="00C2167E"/>
    <w:rsid w:val="00C319AD"/>
    <w:rsid w:val="00C36470"/>
    <w:rsid w:val="00C669E5"/>
    <w:rsid w:val="00C727F7"/>
    <w:rsid w:val="00C77A11"/>
    <w:rsid w:val="00C91BFF"/>
    <w:rsid w:val="00CA013A"/>
    <w:rsid w:val="00CC1306"/>
    <w:rsid w:val="00CC7B46"/>
    <w:rsid w:val="00CE3F10"/>
    <w:rsid w:val="00CE5DB9"/>
    <w:rsid w:val="00D007D1"/>
    <w:rsid w:val="00D0358C"/>
    <w:rsid w:val="00D06A88"/>
    <w:rsid w:val="00D10B63"/>
    <w:rsid w:val="00D15429"/>
    <w:rsid w:val="00D508E9"/>
    <w:rsid w:val="00D56934"/>
    <w:rsid w:val="00D73401"/>
    <w:rsid w:val="00D75409"/>
    <w:rsid w:val="00D84606"/>
    <w:rsid w:val="00D92CE1"/>
    <w:rsid w:val="00DC425F"/>
    <w:rsid w:val="00DD0C81"/>
    <w:rsid w:val="00DF2FC3"/>
    <w:rsid w:val="00E276A5"/>
    <w:rsid w:val="00E42C9C"/>
    <w:rsid w:val="00E927C2"/>
    <w:rsid w:val="00EC0C49"/>
    <w:rsid w:val="00EC297A"/>
    <w:rsid w:val="00ED38D0"/>
    <w:rsid w:val="00EF5150"/>
    <w:rsid w:val="00F11771"/>
    <w:rsid w:val="00F128A3"/>
    <w:rsid w:val="00F223E1"/>
    <w:rsid w:val="00F3014E"/>
    <w:rsid w:val="00F62B9A"/>
    <w:rsid w:val="00FB5A9D"/>
    <w:rsid w:val="00FC2336"/>
    <w:rsid w:val="00FD238B"/>
    <w:rsid w:val="00FD76C8"/>
    <w:rsid w:val="00FE01A7"/>
    <w:rsid w:val="00FF059D"/>
    <w:rsid w:val="0A3A106D"/>
    <w:rsid w:val="0A8168BF"/>
    <w:rsid w:val="0F415F97"/>
    <w:rsid w:val="1DF03A8C"/>
    <w:rsid w:val="2085417F"/>
    <w:rsid w:val="30E30AA1"/>
    <w:rsid w:val="38511260"/>
    <w:rsid w:val="38F07FC5"/>
    <w:rsid w:val="3A65014E"/>
    <w:rsid w:val="433F2648"/>
    <w:rsid w:val="49153299"/>
    <w:rsid w:val="4F7D21AA"/>
    <w:rsid w:val="52C04518"/>
    <w:rsid w:val="579B50D4"/>
    <w:rsid w:val="592A069B"/>
    <w:rsid w:val="5F274BA5"/>
    <w:rsid w:val="632A2521"/>
    <w:rsid w:val="79A82196"/>
    <w:rsid w:val="7EE94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paragraph" w:styleId="2">
    <w:name w:val="heading 4"/>
    <w:basedOn w:val="1"/>
    <w:next w:val="1"/>
    <w:link w:val="9"/>
    <w:qFormat/>
    <w:uiPriority w:val="0"/>
    <w:pPr>
      <w:keepNext/>
      <w:keepLines/>
      <w:spacing w:before="60" w:after="60" w:line="312" w:lineRule="auto"/>
      <w:ind w:firstLine="880" w:firstLineChars="200"/>
      <w:outlineLvl w:val="3"/>
    </w:pPr>
    <w:rPr>
      <w:rFonts w:ascii="Cambria" w:hAnsi="Cambria" w:cstheme="majorBidi"/>
      <w:b/>
      <w:bCs/>
      <w:sz w:val="24"/>
      <w:szCs w:val="2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标题 4 Char"/>
    <w:basedOn w:val="7"/>
    <w:link w:val="2"/>
    <w:qFormat/>
    <w:uiPriority w:val="0"/>
    <w:rPr>
      <w:rFonts w:ascii="Cambria" w:hAnsi="Cambria" w:cstheme="majorBidi"/>
      <w:b/>
      <w:bCs/>
      <w:kern w:val="2"/>
      <w:sz w:val="24"/>
      <w:szCs w:val="28"/>
    </w:rPr>
  </w:style>
  <w:style w:type="character" w:customStyle="1" w:styleId="10">
    <w:name w:val="页脚 Char"/>
    <w:basedOn w:val="7"/>
    <w:link w:val="4"/>
    <w:qFormat/>
    <w:uiPriority w:val="99"/>
    <w:rPr>
      <w:kern w:val="2"/>
      <w:sz w:val="18"/>
      <w:szCs w:val="18"/>
    </w:rPr>
  </w:style>
  <w:style w:type="character" w:customStyle="1" w:styleId="11">
    <w:name w:val="页眉 Char"/>
    <w:basedOn w:val="7"/>
    <w:link w:val="5"/>
    <w:semiHidden/>
    <w:qFormat/>
    <w:uiPriority w:val="99"/>
    <w:rPr>
      <w:rFonts w:ascii="Arial" w:hAnsi="Arial" w:cs="Arial" w:eastAsiaTheme="minorEastAsia"/>
      <w:snapToGrid w:val="0"/>
      <w:color w:val="000000"/>
      <w:sz w:val="18"/>
      <w:szCs w:val="18"/>
    </w:rPr>
  </w:style>
  <w:style w:type="character" w:customStyle="1" w:styleId="12">
    <w:name w:val="批注框文本 Char"/>
    <w:basedOn w:val="7"/>
    <w:link w:val="3"/>
    <w:semiHidden/>
    <w:qFormat/>
    <w:uiPriority w:val="99"/>
    <w:rPr>
      <w:rFonts w:ascii="Arial" w:hAnsi="Arial" w:cs="Arial" w:eastAsiaTheme="minorEastAsia"/>
      <w:snapToGrid w:val="0"/>
      <w:color w:val="00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CFF1FC0-569B-4E04-8C6B-277CBBC6F441}">
  <ds:schemaRefs/>
</ds:datastoreItem>
</file>

<file path=docProps/app.xml><?xml version="1.0" encoding="utf-8"?>
<Properties xmlns="http://schemas.openxmlformats.org/officeDocument/2006/extended-properties" xmlns:vt="http://schemas.openxmlformats.org/officeDocument/2006/docPropsVTypes">
  <Template>Normal</Template>
  <Pages>7</Pages>
  <Words>8608</Words>
  <Characters>8746</Characters>
  <Lines>48</Lines>
  <Paragraphs>13</Paragraphs>
  <TotalTime>638</TotalTime>
  <ScaleCrop>false</ScaleCrop>
  <LinksUpToDate>false</LinksUpToDate>
  <CharactersWithSpaces>8836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2021-12-06T03:23:00Z</dcterms:created>
  <dc:creator>廖雨翔</dc:creator>
  <cp:lastModifiedBy>Administrator</cp:lastModifiedBy>
  <cp:lastPrinted>2022-01-28T01:42:00Z</cp:lastPrinted>
  <dcterms:modified xsi:type="dcterms:W3CDTF">2023-10-07T08:58:36Z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D623ED82E16B4E22A2FDEA5184AAD5A5_13</vt:lpwstr>
  </property>
</Properties>
</file>