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right="0" w:rightChars="0" w:firstLine="160" w:firstLineChars="50"/>
        <w:jc w:val="left"/>
        <w:textAlignment w:val="auto"/>
        <w:outlineLvl w:val="9"/>
        <w:rPr>
          <w:rFonts w:ascii="仿宋" w:hAnsi="仿宋" w:eastAsia="仿宋" w:cs="仿宋"/>
          <w:b w:val="0"/>
          <w:i w:val="0"/>
          <w:caps w:val="0"/>
          <w:color w:val="333333"/>
          <w:spacing w:val="0"/>
          <w:kern w:val="0"/>
          <w:sz w:val="32"/>
          <w:szCs w:val="32"/>
          <w:u w:val="none"/>
          <w:lang w:val="en-US" w:eastAsia="zh-CN" w:bidi="ar"/>
        </w:rPr>
      </w:pPr>
      <w:r>
        <w:rPr>
          <w:rFonts w:hint="eastAsia" w:ascii="黑体" w:hAnsi="宋体" w:eastAsia="黑体" w:cs="黑体"/>
          <w:b w:val="0"/>
          <w:i w:val="0"/>
          <w:caps w:val="0"/>
          <w:color w:val="333333"/>
          <w:spacing w:val="0"/>
          <w:kern w:val="0"/>
          <w:sz w:val="32"/>
          <w:szCs w:val="32"/>
          <w:u w:val="none"/>
          <w:lang w:val="en-US" w:eastAsia="zh-Hans" w:bidi="ar"/>
        </w:rPr>
        <w:t>一</w:t>
      </w:r>
      <w:r>
        <w:rPr>
          <w:rFonts w:hint="default" w:ascii="黑体" w:hAnsi="宋体" w:eastAsia="黑体" w:cs="黑体"/>
          <w:b w:val="0"/>
          <w:i w:val="0"/>
          <w:caps w:val="0"/>
          <w:color w:val="333333"/>
          <w:spacing w:val="0"/>
          <w:kern w:val="0"/>
          <w:sz w:val="32"/>
          <w:szCs w:val="32"/>
          <w:u w:val="none"/>
          <w:lang w:eastAsia="zh-Hans" w:bidi="ar"/>
        </w:rPr>
        <w:t>、</w:t>
      </w:r>
      <w:r>
        <w:rPr>
          <w:rFonts w:ascii="黑体" w:hAnsi="宋体" w:eastAsia="黑体" w:cs="黑体"/>
          <w:b w:val="0"/>
          <w:i w:val="0"/>
          <w:caps w:val="0"/>
          <w:color w:val="333333"/>
          <w:spacing w:val="0"/>
          <w:kern w:val="0"/>
          <w:sz w:val="32"/>
          <w:szCs w:val="32"/>
          <w:u w:val="none"/>
          <w:lang w:val="en-US" w:eastAsia="zh-CN" w:bidi="ar"/>
        </w:rPr>
        <w:t>文件出台背景</w:t>
      </w:r>
      <w:r>
        <w:rPr>
          <w:rFonts w:hint="default" w:ascii="黑体" w:hAnsi="宋体" w:eastAsia="黑体" w:cs="黑体"/>
          <w:b w:val="0"/>
          <w:i w:val="0"/>
          <w:caps w:val="0"/>
          <w:color w:val="333333"/>
          <w:spacing w:val="0"/>
          <w:kern w:val="0"/>
          <w:sz w:val="32"/>
          <w:szCs w:val="32"/>
          <w:u w:val="none"/>
          <w:lang w:val="en-US" w:eastAsia="zh-CN" w:bidi="ar"/>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仿宋" w:hAnsi="仿宋" w:eastAsia="仿宋" w:cs="仿宋"/>
          <w:b w:val="0"/>
          <w:i w:val="0"/>
          <w:caps w:val="0"/>
          <w:color w:val="333333"/>
          <w:spacing w:val="0"/>
          <w:kern w:val="0"/>
          <w:sz w:val="32"/>
          <w:szCs w:val="32"/>
          <w:u w:val="none"/>
          <w:lang w:val="en-US" w:eastAsia="zh-CN" w:bidi="ar"/>
        </w:rPr>
      </w:pPr>
      <w:r>
        <w:rPr>
          <w:rFonts w:ascii="仿宋" w:hAnsi="仿宋" w:eastAsia="仿宋" w:cs="仿宋"/>
          <w:b w:val="0"/>
          <w:i w:val="0"/>
          <w:caps w:val="0"/>
          <w:color w:val="333333"/>
          <w:spacing w:val="0"/>
          <w:kern w:val="0"/>
          <w:sz w:val="32"/>
          <w:szCs w:val="32"/>
          <w:u w:val="none"/>
          <w:lang w:val="en-US" w:eastAsia="zh-CN" w:bidi="ar"/>
        </w:rPr>
        <w:t>当前，出租、出借、出售、购买银行卡、手机卡用于电信网络诈骗、跨境赌博及其他相关违法犯罪活动问题日益突出，严重损害了人民群众切身利益，严重侵蚀社会诚信根基。为落实习近平总书记关于严厉打击</w:t>
      </w:r>
      <w:bookmarkStart w:id="0" w:name="_GoBack"/>
      <w:bookmarkEnd w:id="0"/>
      <w:r>
        <w:rPr>
          <w:rFonts w:ascii="仿宋" w:hAnsi="仿宋" w:eastAsia="仿宋" w:cs="仿宋"/>
          <w:b w:val="0"/>
          <w:i w:val="0"/>
          <w:caps w:val="0"/>
          <w:color w:val="333333"/>
          <w:spacing w:val="0"/>
          <w:kern w:val="0"/>
          <w:sz w:val="32"/>
          <w:szCs w:val="32"/>
          <w:u w:val="none"/>
          <w:lang w:val="en-US" w:eastAsia="zh-CN" w:bidi="ar"/>
        </w:rPr>
        <w:t>防范电信网络诈骗违法犯罪等相关指示精神，贯彻落实</w:t>
      </w:r>
      <w:r>
        <w:rPr>
          <w:rFonts w:ascii="仿宋" w:hAnsi="仿宋" w:eastAsia="仿宋" w:cs="仿宋"/>
          <w:b w:val="0"/>
          <w:i w:val="0"/>
          <w:caps w:val="0"/>
          <w:color w:val="333333"/>
          <w:spacing w:val="0"/>
          <w:kern w:val="0"/>
          <w:sz w:val="32"/>
          <w:szCs w:val="32"/>
          <w:u w:val="none"/>
          <w:lang w:eastAsia="zh-CN" w:bidi="ar"/>
        </w:rPr>
        <w:t>202</w:t>
      </w:r>
      <w:r>
        <w:rPr>
          <w:rFonts w:hint="eastAsia" w:ascii="仿宋" w:hAnsi="仿宋" w:eastAsia="仿宋" w:cs="仿宋"/>
          <w:b w:val="0"/>
          <w:i w:val="0"/>
          <w:caps w:val="0"/>
          <w:color w:val="333333"/>
          <w:spacing w:val="0"/>
          <w:kern w:val="0"/>
          <w:sz w:val="32"/>
          <w:szCs w:val="32"/>
          <w:u w:val="none"/>
          <w:lang w:val="en-US" w:eastAsia="zh-Hans" w:bidi="ar"/>
        </w:rPr>
        <w:t>年</w:t>
      </w:r>
      <w:r>
        <w:rPr>
          <w:rFonts w:ascii="仿宋" w:hAnsi="仿宋" w:eastAsia="仿宋" w:cs="仿宋"/>
          <w:b w:val="0"/>
          <w:i w:val="0"/>
          <w:caps w:val="0"/>
          <w:color w:val="333333"/>
          <w:spacing w:val="0"/>
          <w:kern w:val="0"/>
          <w:sz w:val="32"/>
          <w:szCs w:val="32"/>
          <w:u w:val="none"/>
          <w:lang w:val="en-US" w:eastAsia="zh-CN" w:bidi="ar"/>
        </w:rPr>
        <w:t>10月11日全国“断卡”行动推进会议精神，加强我市行业治理力度，遏制“两卡”犯罪势头，经市打击治理电信网络新型违法犯罪工作联席会议研究制定本通知。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黑体" w:hAnsi="宋体" w:eastAsia="黑体" w:cs="黑体"/>
          <w:b w:val="0"/>
          <w:i w:val="0"/>
          <w:caps w:val="0"/>
          <w:color w:val="333333"/>
          <w:spacing w:val="0"/>
          <w:kern w:val="0"/>
          <w:sz w:val="32"/>
          <w:szCs w:val="32"/>
          <w:u w:val="none"/>
          <w:lang w:val="en-US" w:eastAsia="zh-CN" w:bidi="ar"/>
        </w:rPr>
      </w:pPr>
      <w:r>
        <w:rPr>
          <w:rFonts w:hint="eastAsia" w:ascii="黑体" w:hAnsi="宋体" w:eastAsia="黑体" w:cs="黑体"/>
          <w:b w:val="0"/>
          <w:i w:val="0"/>
          <w:caps w:val="0"/>
          <w:color w:val="333333"/>
          <w:spacing w:val="0"/>
          <w:kern w:val="0"/>
          <w:sz w:val="32"/>
          <w:szCs w:val="32"/>
          <w:u w:val="none"/>
          <w:lang w:val="en-US" w:eastAsia="zh-Hans" w:bidi="ar"/>
        </w:rPr>
        <w:t>二</w:t>
      </w:r>
      <w:r>
        <w:rPr>
          <w:rFonts w:hint="default" w:ascii="黑体" w:hAnsi="宋体" w:eastAsia="黑体" w:cs="黑体"/>
          <w:b w:val="0"/>
          <w:i w:val="0"/>
          <w:caps w:val="0"/>
          <w:color w:val="333333"/>
          <w:spacing w:val="0"/>
          <w:kern w:val="0"/>
          <w:sz w:val="32"/>
          <w:szCs w:val="32"/>
          <w:u w:val="none"/>
          <w:lang w:eastAsia="zh-Hans" w:bidi="ar"/>
        </w:rPr>
        <w:t>、</w:t>
      </w:r>
      <w:r>
        <w:rPr>
          <w:rFonts w:hint="eastAsia" w:ascii="黑体" w:hAnsi="宋体" w:eastAsia="黑体" w:cs="黑体"/>
          <w:b w:val="0"/>
          <w:i w:val="0"/>
          <w:caps w:val="0"/>
          <w:color w:val="333333"/>
          <w:spacing w:val="0"/>
          <w:kern w:val="0"/>
          <w:sz w:val="32"/>
          <w:szCs w:val="32"/>
          <w:u w:val="none"/>
          <w:lang w:val="en-US" w:eastAsia="zh-Hans" w:bidi="ar"/>
        </w:rPr>
        <w:t>目标任务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eastAsia="zh-Hans" w:bidi="ar"/>
        </w:rPr>
      </w:pPr>
      <w:r>
        <w:rPr>
          <w:rFonts w:hint="eastAsia" w:ascii="仿宋" w:hAnsi="仿宋" w:eastAsia="仿宋" w:cs="仿宋"/>
          <w:b w:val="0"/>
          <w:i w:val="0"/>
          <w:caps w:val="0"/>
          <w:color w:val="333333"/>
          <w:spacing w:val="0"/>
          <w:kern w:val="0"/>
          <w:sz w:val="32"/>
          <w:szCs w:val="32"/>
          <w:u w:val="none"/>
          <w:lang w:val="en-US" w:eastAsia="zh-Hans" w:bidi="ar"/>
        </w:rPr>
        <w:t>通过“控开卡</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清存量”等一系列措施</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杜绝银行卡</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手机卡流向涉诈犯罪活动现象</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掐断诈骗团伙的“资金链”</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切实保护好群众的“钱袋子”</w:t>
      </w:r>
      <w:r>
        <w:rPr>
          <w:rFonts w:hint="default" w:ascii="仿宋" w:hAnsi="仿宋" w:eastAsia="仿宋" w:cs="仿宋"/>
          <w:b w:val="0"/>
          <w:i w:val="0"/>
          <w:caps w:val="0"/>
          <w:color w:val="333333"/>
          <w:spacing w:val="0"/>
          <w:kern w:val="0"/>
          <w:sz w:val="32"/>
          <w:szCs w:val="32"/>
          <w:u w:val="none"/>
          <w:lang w:eastAsia="zh-Hans" w:bidi="ar"/>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黑体" w:hAnsi="宋体" w:eastAsia="黑体" w:cs="黑体"/>
          <w:b w:val="0"/>
          <w:i w:val="0"/>
          <w:caps w:val="0"/>
          <w:color w:val="333333"/>
          <w:spacing w:val="0"/>
          <w:kern w:val="0"/>
          <w:sz w:val="32"/>
          <w:szCs w:val="32"/>
          <w:u w:val="none"/>
          <w:lang w:val="en-US" w:eastAsia="zh-CN" w:bidi="ar"/>
        </w:rPr>
      </w:pPr>
      <w:r>
        <w:rPr>
          <w:rFonts w:hint="default" w:ascii="黑体" w:hAnsi="宋体" w:eastAsia="黑体" w:cs="黑体"/>
          <w:b w:val="0"/>
          <w:i w:val="0"/>
          <w:caps w:val="0"/>
          <w:color w:val="333333"/>
          <w:spacing w:val="0"/>
          <w:kern w:val="0"/>
          <w:sz w:val="32"/>
          <w:szCs w:val="32"/>
          <w:u w:val="none"/>
          <w:lang w:val="en-US" w:eastAsia="zh-CN" w:bidi="ar"/>
        </w:rPr>
        <w:t>主要内容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200" w:right="0" w:rightChars="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w:t>
      </w:r>
      <w:r>
        <w:rPr>
          <w:rFonts w:hint="eastAsia" w:ascii="仿宋" w:hAnsi="仿宋" w:eastAsia="仿宋" w:cs="仿宋"/>
          <w:b w:val="0"/>
          <w:i w:val="0"/>
          <w:caps w:val="0"/>
          <w:color w:val="333333"/>
          <w:spacing w:val="0"/>
          <w:kern w:val="0"/>
          <w:sz w:val="32"/>
          <w:szCs w:val="32"/>
          <w:u w:val="none"/>
          <w:lang w:val="en-US" w:eastAsia="zh-Hans" w:bidi="ar"/>
        </w:rPr>
        <w:t>一</w:t>
      </w:r>
      <w:r>
        <w:rPr>
          <w:rFonts w:hint="default" w:ascii="仿宋" w:hAnsi="仿宋" w:eastAsia="仿宋" w:cs="仿宋"/>
          <w:b w:val="0"/>
          <w:i w:val="0"/>
          <w:caps w:val="0"/>
          <w:color w:val="333333"/>
          <w:spacing w:val="0"/>
          <w:kern w:val="0"/>
          <w:sz w:val="32"/>
          <w:szCs w:val="32"/>
          <w:u w:val="none"/>
          <w:lang w:eastAsia="zh-CN" w:bidi="ar"/>
        </w:rPr>
        <w:t>）</w:t>
      </w:r>
      <w:r>
        <w:rPr>
          <w:rFonts w:hint="default" w:ascii="仿宋" w:hAnsi="仿宋" w:eastAsia="仿宋" w:cs="仿宋"/>
          <w:b w:val="0"/>
          <w:i w:val="0"/>
          <w:caps w:val="0"/>
          <w:color w:val="333333"/>
          <w:spacing w:val="0"/>
          <w:kern w:val="0"/>
          <w:sz w:val="32"/>
          <w:szCs w:val="32"/>
          <w:u w:val="none"/>
          <w:lang w:val="en-US" w:eastAsia="zh-CN" w:bidi="ar"/>
        </w:rPr>
        <w:t>新开立个人银行卡、电话卡</w:t>
      </w:r>
      <w:r>
        <w:rPr>
          <w:rFonts w:hint="eastAsia" w:ascii="仿宋" w:hAnsi="仿宋" w:eastAsia="仿宋" w:cs="仿宋"/>
          <w:b w:val="0"/>
          <w:i w:val="0"/>
          <w:caps w:val="0"/>
          <w:color w:val="333333"/>
          <w:spacing w:val="0"/>
          <w:kern w:val="0"/>
          <w:sz w:val="32"/>
          <w:szCs w:val="32"/>
          <w:u w:val="none"/>
          <w:lang w:val="en-US" w:eastAsia="zh-Hans" w:bidi="ar"/>
        </w:rPr>
        <w:t>相关规定</w:t>
      </w:r>
      <w:r>
        <w:rPr>
          <w:rFonts w:hint="default" w:ascii="仿宋" w:hAnsi="仿宋" w:eastAsia="仿宋" w:cs="仿宋"/>
          <w:b w:val="0"/>
          <w:i w:val="0"/>
          <w:caps w:val="0"/>
          <w:color w:val="333333"/>
          <w:spacing w:val="0"/>
          <w:kern w:val="0"/>
          <w:sz w:val="32"/>
          <w:szCs w:val="3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1</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严格审查开卡必要性，提倡使用个人名下存量卡。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2</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加强属地管理，本市户籍居民前往金融机构、通信运营商办理新开卡业务的，一律到户籍所在县域办理。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3</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外市户籍在本市工作生活，因工作需要确需开立新卡的，持本市发放的居住证、近半年连续在本市纳税或缴纳社保的凭证、居住地所在村（居）委会出具证明并由辖区派出所出审核盖章后，可到居住所在县域办理二类银行卡，因经商确需开立一类卡的，金融机构应当严格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4</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各金融机构、通信运营商应根据客户风险等级进行分类管理，对市域招商引资重点企业高管、各级党政机关、国有企事业单位职工及各金融机构、通信运营商主动营销的可信赖客户等低风险群体，因工作需要确需开卡的，在出示可证明其职业身份的有效证件后，就近办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5</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各金融机构、通信运营商应围绕可疑不开卡、开卡不涉案、涉案必追究的目标，本着“谁开卡谁负责”的原则，加强对开卡人的尽职审查。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w:t>
      </w:r>
      <w:r>
        <w:rPr>
          <w:rFonts w:hint="eastAsia" w:ascii="仿宋" w:hAnsi="仿宋" w:eastAsia="仿宋" w:cs="仿宋"/>
          <w:b w:val="0"/>
          <w:i w:val="0"/>
          <w:caps w:val="0"/>
          <w:color w:val="333333"/>
          <w:spacing w:val="0"/>
          <w:kern w:val="0"/>
          <w:sz w:val="32"/>
          <w:szCs w:val="32"/>
          <w:u w:val="none"/>
          <w:lang w:val="en-US" w:eastAsia="zh-Hans" w:bidi="ar"/>
        </w:rPr>
        <w:t>二</w:t>
      </w:r>
      <w:r>
        <w:rPr>
          <w:rFonts w:hint="default" w:ascii="仿宋" w:hAnsi="仿宋" w:eastAsia="仿宋" w:cs="仿宋"/>
          <w:b w:val="0"/>
          <w:i w:val="0"/>
          <w:caps w:val="0"/>
          <w:color w:val="333333"/>
          <w:spacing w:val="0"/>
          <w:kern w:val="0"/>
          <w:sz w:val="32"/>
          <w:szCs w:val="32"/>
          <w:u w:val="none"/>
          <w:lang w:eastAsia="zh-CN" w:bidi="ar"/>
        </w:rPr>
        <w:t>）</w:t>
      </w:r>
      <w:r>
        <w:rPr>
          <w:rFonts w:hint="default" w:ascii="仿宋" w:hAnsi="仿宋" w:eastAsia="仿宋" w:cs="仿宋"/>
          <w:b w:val="0"/>
          <w:i w:val="0"/>
          <w:caps w:val="0"/>
          <w:color w:val="333333"/>
          <w:spacing w:val="0"/>
          <w:kern w:val="0"/>
          <w:sz w:val="32"/>
          <w:szCs w:val="32"/>
          <w:u w:val="none"/>
          <w:lang w:val="en-US" w:eastAsia="zh-CN" w:bidi="ar"/>
        </w:rPr>
        <w:t>市联席办将每月对涉案“两卡”的开户情况进行排名通报，并向社会公开：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1</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金融机构营业网点当月被通报2条及以上“断卡行动”后开立的涉案银行卡的，一律实施先停后查的内部整改措施，暂停新开卡业务1月；被通报4条及以上的，暂停新开卡业务2月；连续2个月都被通报的，一律暂停新开卡业务2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2</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通信运营商当月被通报“断卡行动”后开立涉案电话卡的，建议主管部门责令所属通信企业对自营厅店扣除负责人当月百分之五十的绩效奖金等处罚、对代理渠道实施暂停售卡业务1个月的先停后改内部整改措施；被通报2条及以上的，对自营厅店扣除负责人当月全部绩效奖金等处罚、暂停代理渠道售卡业务2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3</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对各金融机构、通信运营商营业网点当月涉案“两卡”数量进行排名，对累计2次排名进入全市前20名的，对营业网点进行黄牌警告，并约谈相关负责人；累计4次进入前20名的，对营业网点进行红牌警告，建议主管部门撤换该自营厅店相关负责人或取消渠道代理资格并纳入行业黑名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4</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对累计3次全市排名前3名的金融机构，公安机关对其“平安建设”（综治工作）反诈业务评为0分；累计4次排名前3名的，建议主管部门依据有关规定予以处罚，并建议市委政法委取消其“平安建设”（综治工作）评优评先资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5</w:t>
      </w:r>
      <w:r>
        <w:rPr>
          <w:rFonts w:hint="eastAsia" w:ascii="仿宋" w:hAnsi="仿宋" w:eastAsia="仿宋" w:cs="仿宋"/>
          <w:b w:val="0"/>
          <w:i w:val="0"/>
          <w:caps w:val="0"/>
          <w:color w:val="333333"/>
          <w:spacing w:val="0"/>
          <w:kern w:val="0"/>
          <w:sz w:val="32"/>
          <w:szCs w:val="32"/>
          <w:u w:val="none"/>
          <w:lang w:val="en-US" w:eastAsia="zh-Hans" w:bidi="ar"/>
        </w:rPr>
        <w:t>.</w:t>
      </w:r>
      <w:r>
        <w:rPr>
          <w:rFonts w:hint="default" w:ascii="仿宋" w:hAnsi="仿宋" w:eastAsia="仿宋" w:cs="仿宋"/>
          <w:b w:val="0"/>
          <w:i w:val="0"/>
          <w:caps w:val="0"/>
          <w:color w:val="333333"/>
          <w:spacing w:val="0"/>
          <w:kern w:val="0"/>
          <w:sz w:val="32"/>
          <w:szCs w:val="32"/>
          <w:u w:val="none"/>
          <w:lang w:eastAsia="zh-Hans" w:bidi="ar"/>
        </w:rPr>
        <w:t xml:space="preserve"> </w:t>
      </w:r>
      <w:r>
        <w:rPr>
          <w:rFonts w:hint="default" w:ascii="仿宋" w:hAnsi="仿宋" w:eastAsia="仿宋" w:cs="仿宋"/>
          <w:b w:val="0"/>
          <w:i w:val="0"/>
          <w:caps w:val="0"/>
          <w:color w:val="333333"/>
          <w:spacing w:val="0"/>
          <w:kern w:val="0"/>
          <w:sz w:val="32"/>
          <w:szCs w:val="32"/>
          <w:u w:val="none"/>
          <w:lang w:val="en-US" w:eastAsia="zh-CN" w:bidi="ar"/>
        </w:rPr>
        <w:t>对累计3次全市排名前5的县级通信运营分公司，公安机关对其“平安建设”（综治工作）反诈业务评为0分；累计4次排名前5名的，建议主管部门依照有关规定予以处罚，并建议同级政法委取消其“平安建设”（综治工作）评优评先资格。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700" w:firstLineChars="200"/>
        <w:jc w:val="left"/>
        <w:textAlignment w:val="auto"/>
        <w:outlineLvl w:val="9"/>
        <w:rPr>
          <w:rFonts w:hint="eastAsia" w:ascii="Microsoft YaHei" w:hAnsi="Microsoft YaHei" w:eastAsia="Microsoft YaHei" w:cs="Microsoft YaHei"/>
          <w:b w:val="0"/>
          <w:i w:val="0"/>
          <w:caps w:val="0"/>
          <w:color w:val="333333"/>
          <w:spacing w:val="0"/>
          <w:kern w:val="0"/>
          <w:sz w:val="35"/>
          <w:szCs w:val="35"/>
          <w:u w:val="none"/>
          <w:lang w:val="en-US" w:eastAsia="zh-Hans" w:bidi="ar"/>
        </w:rPr>
      </w:pPr>
      <w:r>
        <w:rPr>
          <w:rFonts w:hint="eastAsia" w:ascii="Microsoft YaHei" w:hAnsi="Microsoft YaHei" w:eastAsia="Microsoft YaHei" w:cs="Microsoft YaHei"/>
          <w:b w:val="0"/>
          <w:i w:val="0"/>
          <w:caps w:val="0"/>
          <w:color w:val="333333"/>
          <w:spacing w:val="0"/>
          <w:kern w:val="0"/>
          <w:sz w:val="35"/>
          <w:szCs w:val="35"/>
          <w:u w:val="none"/>
          <w:lang w:val="en-US" w:eastAsia="zh-Hans" w:bidi="ar"/>
        </w:rPr>
        <w:t>四</w:t>
      </w:r>
      <w:r>
        <w:rPr>
          <w:rFonts w:hint="default" w:ascii="Microsoft YaHei" w:hAnsi="Microsoft YaHei" w:eastAsia="Microsoft YaHei" w:cs="Microsoft YaHei"/>
          <w:b w:val="0"/>
          <w:i w:val="0"/>
          <w:caps w:val="0"/>
          <w:color w:val="333333"/>
          <w:spacing w:val="0"/>
          <w:kern w:val="0"/>
          <w:sz w:val="35"/>
          <w:szCs w:val="35"/>
          <w:u w:val="none"/>
          <w:lang w:eastAsia="zh-Hans" w:bidi="ar"/>
        </w:rPr>
        <w:t>、</w:t>
      </w:r>
      <w:r>
        <w:rPr>
          <w:rFonts w:hint="eastAsia" w:ascii="Microsoft YaHei" w:hAnsi="Microsoft YaHei" w:eastAsia="Microsoft YaHei" w:cs="Microsoft YaHei"/>
          <w:b w:val="0"/>
          <w:i w:val="0"/>
          <w:caps w:val="0"/>
          <w:color w:val="333333"/>
          <w:spacing w:val="0"/>
          <w:kern w:val="0"/>
          <w:sz w:val="35"/>
          <w:szCs w:val="35"/>
          <w:u w:val="none"/>
          <w:lang w:val="en-US" w:eastAsia="zh-Hans" w:bidi="ar"/>
        </w:rPr>
        <w:t>涉及范围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eastAsia="zh-Hans" w:bidi="ar"/>
        </w:rPr>
      </w:pP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一</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该通知所涉及的金融机构</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通信运营商网点是</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我市开展金融</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通信服务的机构及其营业网点</w:t>
      </w:r>
      <w:r>
        <w:rPr>
          <w:rFonts w:hint="default" w:ascii="仿宋" w:hAnsi="仿宋" w:eastAsia="仿宋" w:cs="仿宋"/>
          <w:b w:val="0"/>
          <w:i w:val="0"/>
          <w:caps w:val="0"/>
          <w:color w:val="333333"/>
          <w:spacing w:val="0"/>
          <w:kern w:val="0"/>
          <w:sz w:val="32"/>
          <w:szCs w:val="32"/>
          <w:u w:val="none"/>
          <w:lang w:eastAsia="zh-Hans"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eastAsia="zh-CN" w:bidi="ar"/>
        </w:rPr>
        <w:t>（</w:t>
      </w:r>
      <w:r>
        <w:rPr>
          <w:rFonts w:hint="eastAsia" w:ascii="仿宋" w:hAnsi="仿宋" w:eastAsia="仿宋" w:cs="仿宋"/>
          <w:b w:val="0"/>
          <w:i w:val="0"/>
          <w:caps w:val="0"/>
          <w:color w:val="333333"/>
          <w:spacing w:val="0"/>
          <w:kern w:val="0"/>
          <w:sz w:val="32"/>
          <w:szCs w:val="32"/>
          <w:u w:val="none"/>
          <w:lang w:val="en-US" w:eastAsia="zh-Hans" w:bidi="ar"/>
        </w:rPr>
        <w:t>二</w:t>
      </w:r>
      <w:r>
        <w:rPr>
          <w:rFonts w:hint="default" w:ascii="仿宋" w:hAnsi="仿宋" w:eastAsia="仿宋" w:cs="仿宋"/>
          <w:b w:val="0"/>
          <w:i w:val="0"/>
          <w:caps w:val="0"/>
          <w:color w:val="333333"/>
          <w:spacing w:val="0"/>
          <w:kern w:val="0"/>
          <w:sz w:val="32"/>
          <w:szCs w:val="32"/>
          <w:u w:val="none"/>
          <w:lang w:eastAsia="zh-CN" w:bidi="ar"/>
        </w:rPr>
        <w:t>）</w:t>
      </w:r>
      <w:r>
        <w:rPr>
          <w:rFonts w:hint="eastAsia" w:ascii="仿宋" w:hAnsi="仿宋" w:eastAsia="仿宋" w:cs="仿宋"/>
          <w:b w:val="0"/>
          <w:i w:val="0"/>
          <w:caps w:val="0"/>
          <w:color w:val="333333"/>
          <w:spacing w:val="0"/>
          <w:kern w:val="0"/>
          <w:sz w:val="32"/>
          <w:szCs w:val="32"/>
          <w:u w:val="none"/>
          <w:lang w:val="en-US" w:eastAsia="zh-Hans" w:bidi="ar"/>
        </w:rPr>
        <w:t>该通知所涉及的新开立卡主体是</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需要在本市金融</w:t>
      </w:r>
      <w:r>
        <w:rPr>
          <w:rFonts w:hint="default" w:ascii="仿宋" w:hAnsi="仿宋" w:eastAsia="仿宋" w:cs="仿宋"/>
          <w:b w:val="0"/>
          <w:i w:val="0"/>
          <w:caps w:val="0"/>
          <w:color w:val="333333"/>
          <w:spacing w:val="0"/>
          <w:kern w:val="0"/>
          <w:sz w:val="32"/>
          <w:szCs w:val="32"/>
          <w:u w:val="none"/>
          <w:lang w:eastAsia="zh-Hans" w:bidi="ar"/>
        </w:rPr>
        <w:t>、</w:t>
      </w:r>
      <w:r>
        <w:rPr>
          <w:rFonts w:hint="eastAsia" w:ascii="仿宋" w:hAnsi="仿宋" w:eastAsia="仿宋" w:cs="仿宋"/>
          <w:b w:val="0"/>
          <w:i w:val="0"/>
          <w:caps w:val="0"/>
          <w:color w:val="333333"/>
          <w:spacing w:val="0"/>
          <w:kern w:val="0"/>
          <w:sz w:val="32"/>
          <w:szCs w:val="32"/>
          <w:u w:val="none"/>
          <w:lang w:val="en-US" w:eastAsia="zh-Hans" w:bidi="ar"/>
        </w:rPr>
        <w:t>通信营业网点开立新卡群众</w:t>
      </w:r>
      <w:r>
        <w:rPr>
          <w:rFonts w:hint="default" w:ascii="仿宋" w:hAnsi="仿宋" w:eastAsia="仿宋" w:cs="仿宋"/>
          <w:b w:val="0"/>
          <w:i w:val="0"/>
          <w:caps w:val="0"/>
          <w:color w:val="333333"/>
          <w:spacing w:val="0"/>
          <w:kern w:val="0"/>
          <w:sz w:val="32"/>
          <w:szCs w:val="3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黑体" w:hAnsi="宋体" w:eastAsia="黑体" w:cs="黑体"/>
          <w:b w:val="0"/>
          <w:i w:val="0"/>
          <w:caps w:val="0"/>
          <w:color w:val="333333"/>
          <w:spacing w:val="0"/>
          <w:kern w:val="0"/>
          <w:sz w:val="32"/>
          <w:szCs w:val="32"/>
          <w:u w:val="none"/>
          <w:lang w:val="en-US" w:eastAsia="zh-CN" w:bidi="ar"/>
        </w:rPr>
      </w:pPr>
      <w:r>
        <w:rPr>
          <w:rFonts w:hint="eastAsia" w:ascii="黑体" w:hAnsi="宋体" w:eastAsia="黑体" w:cs="黑体"/>
          <w:b w:val="0"/>
          <w:i w:val="0"/>
          <w:caps w:val="0"/>
          <w:color w:val="333333"/>
          <w:spacing w:val="0"/>
          <w:kern w:val="0"/>
          <w:sz w:val="32"/>
          <w:szCs w:val="32"/>
          <w:u w:val="none"/>
          <w:lang w:val="en-US" w:eastAsia="zh-Hans" w:bidi="ar"/>
        </w:rPr>
        <w:t>五</w:t>
      </w:r>
      <w:r>
        <w:rPr>
          <w:rFonts w:hint="default" w:ascii="黑体" w:hAnsi="宋体" w:eastAsia="黑体" w:cs="黑体"/>
          <w:b w:val="0"/>
          <w:i w:val="0"/>
          <w:caps w:val="0"/>
          <w:color w:val="333333"/>
          <w:spacing w:val="0"/>
          <w:kern w:val="0"/>
          <w:sz w:val="32"/>
          <w:szCs w:val="32"/>
          <w:u w:val="none"/>
          <w:lang w:val="en-US" w:eastAsia="zh-CN" w:bidi="ar"/>
        </w:rPr>
        <w:t>、其他需要说明的事项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val="en-US" w:eastAsia="zh-CN" w:bidi="ar"/>
        </w:rPr>
        <w:t>（一）开户审查更加严格。在银行、运营商营业网点开办银行卡、电话卡相关开户资料的审核将更加严格，特别是针对外地户籍人员将重点审核其开户目的及提供的相关资料真实性，以此震慑开办两卡用于违法犯罪用途的人员，从源头上切断电信网络诈骗犯罪的供应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 w:hAnsi="仿宋" w:eastAsia="仿宋" w:cs="仿宋"/>
          <w:b w:val="0"/>
          <w:i w:val="0"/>
          <w:caps w:val="0"/>
          <w:color w:val="333333"/>
          <w:spacing w:val="0"/>
          <w:kern w:val="0"/>
          <w:sz w:val="32"/>
          <w:szCs w:val="32"/>
          <w:u w:val="none"/>
          <w:lang w:val="en-US" w:eastAsia="zh-CN" w:bidi="ar"/>
        </w:rPr>
      </w:pPr>
      <w:r>
        <w:rPr>
          <w:rFonts w:hint="default" w:ascii="仿宋" w:hAnsi="仿宋" w:eastAsia="仿宋" w:cs="仿宋"/>
          <w:b w:val="0"/>
          <w:i w:val="0"/>
          <w:caps w:val="0"/>
          <w:color w:val="333333"/>
          <w:spacing w:val="0"/>
          <w:kern w:val="0"/>
          <w:sz w:val="32"/>
          <w:szCs w:val="32"/>
          <w:u w:val="none"/>
          <w:lang w:val="en-US" w:eastAsia="zh-CN" w:bidi="ar"/>
        </w:rPr>
        <w:t>（二）账户管控更加有力。银行、运营商将对存量银行账户及电话卡使用情况提升管控力度，对有明显异常交易或通话的“两卡”及时按照风控模型予以临时管控，并联合公安部门对开户人进行审查。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pPr>
      <w:r>
        <w:rPr>
          <w:rFonts w:hint="default" w:ascii="仿宋" w:hAnsi="仿宋" w:eastAsia="仿宋" w:cs="仿宋"/>
          <w:b w:val="0"/>
          <w:i w:val="0"/>
          <w:caps w:val="0"/>
          <w:color w:val="333333"/>
          <w:spacing w:val="0"/>
          <w:kern w:val="0"/>
          <w:sz w:val="32"/>
          <w:szCs w:val="32"/>
          <w:u w:val="none"/>
          <w:lang w:val="en-US" w:eastAsia="zh-CN" w:bidi="ar"/>
        </w:rPr>
        <w:t>（三）内部管理更加规范。银行、运营商将对内部人员进行全方位反诈宣传及普法教育，同时制定相应的奖惩措施，本着“谁开卡谁负责”的原则，对开办的账户发生涉诈情况的，将溯源追究经办人员相应的责任，对涉嫌违法犯罪的移送公安部门处理。 </w:t>
      </w:r>
      <w:r>
        <w:rPr>
          <w:rFonts w:hint="default" w:ascii="Microsoft YaHei" w:hAnsi="Microsoft YaHei" w:eastAsia="Microsoft YaHei" w:cs="Microsoft YaHei"/>
          <w:b w:val="0"/>
          <w:i w:val="0"/>
          <w:caps w:val="0"/>
          <w:color w:val="333333"/>
          <w:spacing w:val="0"/>
          <w:kern w:val="0"/>
          <w:sz w:val="35"/>
          <w:szCs w:val="35"/>
          <w:u w:val="none"/>
          <w:lang w:val="en-US" w:eastAsia="zh-CN" w:bidi="ar"/>
        </w:rPr>
        <w:br w:type="textWrapping"/>
      </w:r>
      <w:r>
        <w:rPr>
          <w:rFonts w:hint="default" w:ascii="Microsoft YaHei" w:hAnsi="Microsoft YaHei" w:eastAsia="Microsoft YaHei" w:cs="Microsoft YaHei"/>
          <w:b w:val="0"/>
          <w:i w:val="0"/>
          <w:caps w:val="0"/>
          <w:color w:val="333333"/>
          <w:spacing w:val="0"/>
          <w:kern w:val="0"/>
          <w:sz w:val="35"/>
          <w:szCs w:val="35"/>
          <w:u w:val="none"/>
          <w:lang w:val="en-US" w:eastAsia="zh-CN" w:bidi="ar"/>
        </w:rPr>
        <w:br w:type="textWrapping"/>
      </w:r>
      <w:r>
        <w:rPr>
          <w:rFonts w:hint="default" w:ascii="仿宋" w:hAnsi="仿宋" w:eastAsia="仿宋" w:cs="仿宋"/>
          <w:b w:val="0"/>
          <w:i w:val="0"/>
          <w:caps w:val="0"/>
          <w:color w:val="333333"/>
          <w:spacing w:val="0"/>
          <w:kern w:val="0"/>
          <w:sz w:val="32"/>
          <w:szCs w:val="32"/>
          <w:u w:val="none"/>
          <w:lang w:val="en-US" w:eastAsia="zh-CN" w:bidi="ar"/>
        </w:rPr>
        <w:t>    政策解读渠道：赣州市公安局反诈中心  0797-8685808 </w:t>
      </w:r>
      <w:r>
        <w:rPr>
          <w:rFonts w:hint="default" w:ascii="Microsoft YaHei" w:hAnsi="Microsoft YaHei" w:eastAsia="Microsoft YaHei" w:cs="Microsoft YaHei"/>
          <w:b w:val="0"/>
          <w:i w:val="0"/>
          <w:caps w:val="0"/>
          <w:color w:val="333333"/>
          <w:spacing w:val="0"/>
          <w:kern w:val="0"/>
          <w:sz w:val="35"/>
          <w:szCs w:val="35"/>
          <w:u w:val="none"/>
          <w:lang w:val="en-US" w:eastAsia="zh-CN" w:bidi="ar"/>
        </w:rPr>
        <w:br w:type="textWrapping"/>
      </w:r>
      <w:r>
        <w:rPr>
          <w:rFonts w:hint="default" w:ascii="仿宋" w:hAnsi="仿宋" w:eastAsia="仿宋" w:cs="仿宋"/>
          <w:b w:val="0"/>
          <w:i w:val="0"/>
          <w:caps w:val="0"/>
          <w:color w:val="333333"/>
          <w:spacing w:val="0"/>
          <w:kern w:val="0"/>
          <w:sz w:val="32"/>
          <w:szCs w:val="32"/>
          <w:u w:val="none"/>
          <w:lang w:val="en-US" w:eastAsia="zh-CN" w:bidi="ar"/>
        </w:rPr>
        <w:t>                  江西省赣州市章贡区长征大道29号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Microsoft YaHei">
    <w:altName w:val="汉仪旗黑"/>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儷宋 Pro">
    <w:panose1 w:val="02020300000000000000"/>
    <w:charset w:val="88"/>
    <w:family w:val="auto"/>
    <w:pitch w:val="default"/>
    <w:sig w:usb0="80000001" w:usb1="28091800"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26EE2"/>
    <w:multiLevelType w:val="singleLevel"/>
    <w:tmpl w:val="61F26EE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4D740"/>
    <w:rsid w:val="AD797B5F"/>
    <w:rsid w:val="F7E4D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Office_3.5.1.5630_F1E327BC-269C-435d-A152-05C5408002CA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2022-01-27T23:51:00Z</dcterms:created>
  <dc:creator>liyi</dc:creator>
  <cp:lastModifiedBy>liyi</cp:lastModifiedBy>
  <dcterms:modified xsi:type="dcterms:W3CDTF">2022-01-27T17:16:25Z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2052-3.5.1.5630</vt:lpwstr>
  </property>
</Properties>
</file>