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仿宋_GB2312"/>
          <w:sz w:val="30"/>
          <w:szCs w:val="30"/>
        </w:rPr>
      </w:pPr>
    </w:p>
    <w:p>
      <w:pPr>
        <w:spacing w:line="560" w:lineRule="exact"/>
        <w:jc w:val="center"/>
        <w:rPr>
          <w:rFonts w:hint="eastAsia" w:ascii="宋体" w:hAnsi="宋体" w:eastAsia="仿宋_GB2312"/>
          <w:sz w:val="30"/>
          <w:szCs w:val="30"/>
        </w:rPr>
      </w:pPr>
    </w:p>
    <w:p>
      <w:pPr>
        <w:spacing w:line="560" w:lineRule="exact"/>
        <w:jc w:val="center"/>
        <w:rPr>
          <w:rFonts w:hint="eastAsia" w:ascii="宋体" w:hAnsi="宋体" w:eastAsia="仿宋_GB2312"/>
          <w:sz w:val="30"/>
          <w:szCs w:val="30"/>
        </w:rPr>
      </w:pPr>
    </w:p>
    <w:p>
      <w:pPr>
        <w:spacing w:line="560" w:lineRule="exact"/>
        <w:jc w:val="center"/>
        <w:rPr>
          <w:rFonts w:hint="eastAsia" w:ascii="宋体" w:hAnsi="宋体" w:eastAsia="仿宋_GB2312"/>
          <w:sz w:val="30"/>
          <w:szCs w:val="30"/>
        </w:rPr>
      </w:pPr>
    </w:p>
    <w:p>
      <w:pPr>
        <w:spacing w:line="560" w:lineRule="exact"/>
        <w:jc w:val="center"/>
        <w:rPr>
          <w:rFonts w:hint="eastAsia" w:ascii="宋体" w:hAnsi="宋体" w:eastAsia="仿宋_GB2312"/>
          <w:sz w:val="30"/>
          <w:szCs w:val="30"/>
        </w:rPr>
      </w:pPr>
    </w:p>
    <w:p>
      <w:pPr>
        <w:spacing w:line="560" w:lineRule="exact"/>
        <w:jc w:val="center"/>
        <w:rPr>
          <w:rFonts w:hint="eastAsia" w:ascii="宋体" w:hAnsi="宋体" w:eastAsia="仿宋_GB2312"/>
          <w:sz w:val="30"/>
          <w:szCs w:val="30"/>
        </w:rPr>
      </w:pPr>
    </w:p>
    <w:p>
      <w:pPr>
        <w:spacing w:line="560" w:lineRule="exact"/>
        <w:jc w:val="center"/>
        <w:rPr>
          <w:rFonts w:hint="eastAsia" w:ascii="宋体" w:hAnsi="宋体" w:eastAsia="仿宋_GB2312"/>
          <w:sz w:val="30"/>
          <w:szCs w:val="30"/>
        </w:rPr>
      </w:pPr>
    </w:p>
    <w:p>
      <w:pPr>
        <w:spacing w:line="560" w:lineRule="exact"/>
        <w:jc w:val="center"/>
        <w:rPr>
          <w:rFonts w:hint="eastAsia" w:ascii="宋体" w:hAnsi="宋体" w:eastAsia="仿宋_GB2312"/>
          <w:sz w:val="32"/>
          <w:szCs w:val="32"/>
        </w:rPr>
      </w:pPr>
      <w:r>
        <w:rPr>
          <w:rFonts w:hint="eastAsia" w:ascii="宋体" w:hAnsi="宋体" w:eastAsia="仿宋_GB2312"/>
          <w:sz w:val="32"/>
          <w:szCs w:val="32"/>
        </w:rPr>
        <w:t>赣市府办发〔2019〕3号</w:t>
      </w:r>
    </w:p>
    <w:p>
      <w:pPr>
        <w:spacing w:line="560" w:lineRule="exact"/>
        <w:jc w:val="center"/>
        <w:rPr>
          <w:rFonts w:hint="eastAsia" w:ascii="宋体" w:hAnsi="宋体" w:eastAsia="仿宋_GB2312"/>
          <w:sz w:val="32"/>
          <w:szCs w:val="32"/>
        </w:rPr>
      </w:pPr>
    </w:p>
    <w:p>
      <w:pPr>
        <w:spacing w:line="560" w:lineRule="exact"/>
        <w:jc w:val="center"/>
        <w:outlineLvl w:val="1"/>
        <w:rPr>
          <w:rFonts w:hint="eastAsia" w:ascii="宋体" w:hAnsi="宋体" w:eastAsia="华文中宋" w:cs="Arial"/>
          <w:kern w:val="36"/>
          <w:sz w:val="36"/>
          <w:szCs w:val="36"/>
        </w:rPr>
      </w:pPr>
    </w:p>
    <w:p>
      <w:pPr>
        <w:widowControl/>
        <w:spacing w:line="560" w:lineRule="exact"/>
        <w:jc w:val="center"/>
        <w:outlineLvl w:val="0"/>
        <w:rPr>
          <w:rFonts w:hint="eastAsia" w:ascii="宋体" w:hAnsi="宋体" w:eastAsia="方正小标宋_GBK" w:cs="宋体"/>
          <w:bCs/>
          <w:color w:val="000000"/>
          <w:kern w:val="36"/>
          <w:sz w:val="44"/>
          <w:szCs w:val="44"/>
        </w:rPr>
      </w:pPr>
      <w:r>
        <w:rPr>
          <w:rFonts w:hint="eastAsia" w:ascii="宋体" w:hAnsi="宋体" w:eastAsia="方正小标宋_GBK" w:cs="宋体"/>
          <w:bCs/>
          <w:color w:val="000000"/>
          <w:kern w:val="36"/>
          <w:sz w:val="44"/>
          <w:szCs w:val="44"/>
        </w:rPr>
        <w:t>赣州市人民政府办公室</w:t>
      </w:r>
    </w:p>
    <w:p>
      <w:pPr>
        <w:widowControl/>
        <w:spacing w:line="560" w:lineRule="exact"/>
        <w:jc w:val="center"/>
        <w:outlineLvl w:val="0"/>
        <w:rPr>
          <w:rFonts w:hint="eastAsia" w:ascii="宋体" w:hAnsi="宋体" w:eastAsia="方正小标宋_GBK" w:cs="宋体"/>
          <w:bCs/>
          <w:color w:val="000000"/>
          <w:kern w:val="36"/>
          <w:sz w:val="44"/>
          <w:szCs w:val="44"/>
        </w:rPr>
      </w:pPr>
      <w:r>
        <w:rPr>
          <w:rFonts w:hint="eastAsia" w:ascii="宋体" w:hAnsi="宋体" w:eastAsia="方正小标宋_GBK" w:cs="宋体"/>
          <w:bCs/>
          <w:color w:val="000000"/>
          <w:kern w:val="36"/>
          <w:sz w:val="44"/>
          <w:szCs w:val="44"/>
        </w:rPr>
        <w:t>关于市政府机构改革涉及市政府规章规定的行政机关职责调整问题的通知</w:t>
      </w:r>
    </w:p>
    <w:p>
      <w:pPr>
        <w:widowControl/>
        <w:spacing w:line="560" w:lineRule="exact"/>
        <w:jc w:val="center"/>
        <w:outlineLvl w:val="0"/>
        <w:rPr>
          <w:rFonts w:hint="eastAsia" w:ascii="宋体" w:hAnsi="宋体" w:cs="宋体"/>
          <w:b/>
          <w:bCs/>
          <w:color w:val="000000"/>
          <w:kern w:val="36"/>
          <w:sz w:val="32"/>
          <w:szCs w:val="32"/>
        </w:rPr>
      </w:pPr>
    </w:p>
    <w:p>
      <w:pPr>
        <w:widowControl/>
        <w:spacing w:line="560" w:lineRule="exact"/>
        <w:jc w:val="left"/>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各县（市、区）人民政府，市政府各部门，市属、驻市各单位：</w:t>
      </w:r>
    </w:p>
    <w:p>
      <w:pPr>
        <w:spacing w:line="56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为平稳有序调整赣州市人民政府规章（以下简称市政府规章）规定的行政机关职责和工作，确保行政机关依法履行职责、开展工作，推进市政府机构设置和职能配置优化协同高效，经市政府批准，现就市政府机构改革涉及市政府规章规定的行政机关职责调整问题有关事项通知如下：</w:t>
      </w:r>
    </w:p>
    <w:p>
      <w:pPr>
        <w:spacing w:line="56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一、现行市政府规章规定的行政机关职责和工作，市级机构改革方案确定由组建后的行政机关或者划入职责的行政机关承担的，在有关市政府规章规定尚未修改或者废止之前，调整适用有关市政府规章规定，由组建后的行政机关或者划入职责的行政机关承担；相关职责尚未调整到位之前，由原承担该职责和工作的行政机关继续承担。</w:t>
      </w:r>
    </w:p>
    <w:p>
      <w:pPr>
        <w:spacing w:line="56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各级行政机关承担市政府规章规定的职责和工作需要进行调整的，按照上述原则执行。</w:t>
      </w:r>
    </w:p>
    <w:p>
      <w:pPr>
        <w:spacing w:line="56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二、市政府规章规定上级行政机关对下级行政机关负有批准、备案等管理监督指导等职责的，上级行政机关职责已调整到位、下级行政机关职责尚未调整到位的，由市级机构改革方案确定承担该职责的上级行政机关履行有关管理监督指导等职责。</w:t>
      </w:r>
    </w:p>
    <w:p>
      <w:pPr>
        <w:spacing w:line="56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三、实施市级机构改革方案需要制定、修改、废止市政府规章的，市政府立法工作部门和有关部门应当根据法律法规制定、修改或者废止情况，及时向市政府提出意见和建议。</w:t>
      </w:r>
    </w:p>
    <w:p>
      <w:pPr>
        <w:spacing w:line="56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四、实施市级机构改革方案需要修改或者废止市政府及其办公厅规范性文件，相关职责已经调整的，由承接该职责和工作的市政府有关部门进行梳理，抓紧开展清理，及时向市政府提出修改或者废止的意见和建议。相关职责已经调整，原规范性文件中涉及职责和工作调整的有关规定尚未修改或者废止之前，由承接该职责和工作的行政机关执行。</w:t>
      </w:r>
    </w:p>
    <w:p>
      <w:pPr>
        <w:spacing w:line="56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各级行政机关制定的规范性文件因实施机构改革需要进行调整的，按照上述原则执行，并依照法定程序报规范性文件备案机关备案。</w:t>
      </w:r>
    </w:p>
    <w:p>
      <w:pPr>
        <w:spacing w:line="56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五、各级行政机关要精心组织，周密部署，确保行政机关履行法定职责、开展工作的连续性、稳定性、有效性，特别是做好涉及民生、应急、安全生产等重点领域工作。上级行政机关要加强对下级行政机关的监督指导，划入、划出职责的部门要主动衔接，加强协作，防止工作断档、推诿扯皮、不作为、乱作为，切实保障公民、法人和其他组织的合法权益。</w:t>
      </w:r>
    </w:p>
    <w:p>
      <w:pPr>
        <w:spacing w:line="560" w:lineRule="exact"/>
        <w:jc w:val="left"/>
        <w:rPr>
          <w:rFonts w:hint="eastAsia" w:ascii="宋体" w:hAnsi="宋体" w:eastAsia="仿宋_GB2312" w:cs="宋体"/>
          <w:kern w:val="0"/>
          <w:sz w:val="32"/>
          <w:szCs w:val="32"/>
        </w:rPr>
      </w:pPr>
    </w:p>
    <w:p>
      <w:pPr>
        <w:spacing w:line="560" w:lineRule="exact"/>
        <w:jc w:val="left"/>
        <w:rPr>
          <w:rFonts w:hint="eastAsia" w:ascii="宋体" w:hAnsi="宋体" w:eastAsia="仿宋_GB2312" w:cs="宋体"/>
          <w:kern w:val="0"/>
          <w:sz w:val="32"/>
          <w:szCs w:val="32"/>
        </w:rPr>
      </w:pPr>
    </w:p>
    <w:p>
      <w:pPr>
        <w:spacing w:line="560" w:lineRule="exact"/>
        <w:jc w:val="left"/>
        <w:rPr>
          <w:rFonts w:hint="eastAsia" w:ascii="宋体" w:hAnsi="宋体" w:eastAsia="仿宋_GB2312" w:cs="宋体"/>
          <w:kern w:val="0"/>
          <w:sz w:val="32"/>
          <w:szCs w:val="32"/>
        </w:rPr>
      </w:pPr>
    </w:p>
    <w:p>
      <w:pPr>
        <w:spacing w:line="560" w:lineRule="exact"/>
        <w:jc w:val="left"/>
        <w:rPr>
          <w:rFonts w:hint="eastAsia" w:ascii="宋体" w:hAnsi="宋体" w:eastAsia="仿宋_GB2312" w:cs="宋体"/>
          <w:kern w:val="0"/>
          <w:sz w:val="32"/>
          <w:szCs w:val="32"/>
        </w:rPr>
      </w:pPr>
    </w:p>
    <w:p>
      <w:pPr>
        <w:spacing w:line="560" w:lineRule="exact"/>
        <w:ind w:right="1348" w:rightChars="642"/>
        <w:jc w:val="left"/>
        <w:rPr>
          <w:rFonts w:hint="eastAsia" w:ascii="宋体" w:hAnsi="宋体" w:eastAsia="仿宋_GB2312" w:cs="宋体"/>
          <w:bCs/>
          <w:spacing w:val="40"/>
          <w:sz w:val="32"/>
          <w:szCs w:val="32"/>
        </w:rPr>
      </w:pPr>
      <w:r>
        <w:rPr>
          <w:rFonts w:hint="eastAsia" w:ascii="宋体" w:hAnsi="宋体" w:eastAsia="仿宋_GB2312" w:cs="宋体"/>
          <w:bCs/>
          <w:sz w:val="32"/>
          <w:szCs w:val="32"/>
        </w:rPr>
        <w:t xml:space="preserve"> </w:t>
      </w:r>
      <w:r>
        <w:rPr>
          <w:rFonts w:hint="eastAsia" w:ascii="宋体" w:hAnsi="宋体" w:eastAsia="仿宋_GB2312" w:cs="宋体"/>
          <w:bCs/>
          <w:spacing w:val="40"/>
          <w:sz w:val="32"/>
          <w:szCs w:val="32"/>
        </w:rPr>
        <w:t xml:space="preserve">                 2019年1月24日</w:t>
      </w:r>
    </w:p>
    <w:p>
      <w:pPr>
        <w:spacing w:line="560" w:lineRule="exact"/>
        <w:ind w:right="1348" w:rightChars="642"/>
        <w:jc w:val="left"/>
        <w:rPr>
          <w:rFonts w:hint="eastAsia" w:ascii="宋体" w:hAnsi="宋体" w:eastAsia="仿宋_GB2312" w:cs="宋体"/>
          <w:bCs/>
          <w:spacing w:val="40"/>
          <w:sz w:val="32"/>
          <w:szCs w:val="32"/>
        </w:rPr>
      </w:pP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（此件主动公开）</w:t>
      </w:r>
    </w:p>
    <w:p>
      <w:pPr>
        <w:spacing w:line="560" w:lineRule="exact"/>
        <w:ind w:firstLine="640" w:firstLineChars="200"/>
        <w:rPr>
          <w:rFonts w:hint="eastAsia" w:ascii="宋体" w:hAnsi="宋体" w:eastAsia="仿宋_GB2312"/>
          <w:sz w:val="32"/>
          <w:szCs w:val="32"/>
        </w:rPr>
      </w:pPr>
    </w:p>
    <w:p>
      <w:pPr>
        <w:spacing w:line="560" w:lineRule="exact"/>
        <w:rPr>
          <w:rFonts w:hint="eastAsia" w:ascii="宋体" w:hAnsi="宋体" w:eastAsia="仿宋_GB2312"/>
          <w:color w:val="000000"/>
          <w:sz w:val="30"/>
          <w:szCs w:val="30"/>
        </w:rPr>
      </w:pPr>
      <w:bookmarkStart w:id="0" w:name="_GoBack"/>
      <w:bookmarkEnd w:id="0"/>
    </w:p>
    <w:p>
      <w:pPr>
        <w:spacing w:line="560" w:lineRule="exact"/>
        <w:ind w:firstLine="600" w:firstLineChars="200"/>
        <w:rPr>
          <w:rFonts w:hint="eastAsia" w:ascii="宋体" w:hAnsi="宋体" w:eastAsia="仿宋_GB2312"/>
          <w:color w:val="000000"/>
          <w:sz w:val="30"/>
          <w:szCs w:val="30"/>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赣州市人民政府发布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赣州市人民政府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ThmZmFhN2Q0MmExYjVkNjczODliOGVlOWRkYjcifQ=="/>
  </w:docVars>
  <w:rsids>
    <w:rsidRoot w:val="00172A27"/>
    <w:rsid w:val="013C1C96"/>
    <w:rsid w:val="019E71BD"/>
    <w:rsid w:val="01DC3E46"/>
    <w:rsid w:val="04B679C3"/>
    <w:rsid w:val="080F63D8"/>
    <w:rsid w:val="09341458"/>
    <w:rsid w:val="0B0912D7"/>
    <w:rsid w:val="152D2DCA"/>
    <w:rsid w:val="15DD2016"/>
    <w:rsid w:val="1DEC284C"/>
    <w:rsid w:val="1E6523AC"/>
    <w:rsid w:val="1E9F386D"/>
    <w:rsid w:val="21893052"/>
    <w:rsid w:val="22440422"/>
    <w:rsid w:val="31A15F24"/>
    <w:rsid w:val="32A95302"/>
    <w:rsid w:val="395347B5"/>
    <w:rsid w:val="39A232A0"/>
    <w:rsid w:val="39E745AA"/>
    <w:rsid w:val="3B5A6BBB"/>
    <w:rsid w:val="3EDA13A6"/>
    <w:rsid w:val="42366486"/>
    <w:rsid w:val="42F058B7"/>
    <w:rsid w:val="436109F6"/>
    <w:rsid w:val="441A38D4"/>
    <w:rsid w:val="48546FE8"/>
    <w:rsid w:val="4894280E"/>
    <w:rsid w:val="4BC77339"/>
    <w:rsid w:val="4C9236C5"/>
    <w:rsid w:val="505C172E"/>
    <w:rsid w:val="52F46F0B"/>
    <w:rsid w:val="53D8014D"/>
    <w:rsid w:val="55E064E0"/>
    <w:rsid w:val="572C6D10"/>
    <w:rsid w:val="5DC34279"/>
    <w:rsid w:val="608816D1"/>
    <w:rsid w:val="60EF4E7F"/>
    <w:rsid w:val="665233C1"/>
    <w:rsid w:val="6804655B"/>
    <w:rsid w:val="6AD9688B"/>
    <w:rsid w:val="6D0E3F22"/>
    <w:rsid w:val="73847F34"/>
    <w:rsid w:val="75262C83"/>
    <w:rsid w:val="77B21F3E"/>
    <w:rsid w:val="7AF91AC4"/>
    <w:rsid w:val="7B191EC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paragraph" w:customStyle="1" w:styleId="9">
    <w:name w:val=" Char Char Char Char"/>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luzhibin</cp:lastModifiedBy>
  <cp:lastPrinted>2021-10-26T03:30:00Z</cp:lastPrinted>
  <dcterms:modified xsi:type="dcterms:W3CDTF">2024-01-02T00:46:16Z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989423B361F845069B898C5AE30E9490</vt:lpwstr>
  </property>
</Properties>
</file>