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sz w:val="36"/>
          <w:szCs w:val="36"/>
          <w:lang w:val="en-US" w:eastAsia="zh-CN"/>
        </w:rPr>
        <w:t>医疗保障</w:t>
      </w:r>
      <w:r>
        <w:rPr>
          <w:rFonts w:hint="eastAsia" w:ascii="方正小标宋简体" w:hAnsi="方正小标宋简体" w:eastAsia="方正小标宋简体" w:cs="方正小标宋简体"/>
          <w:color w:val="000000"/>
          <w:sz w:val="36"/>
          <w:szCs w:val="36"/>
        </w:rPr>
        <w:t>领域</w:t>
      </w:r>
      <w:r>
        <w:rPr>
          <w:rFonts w:hint="eastAsia" w:ascii="方正小标宋简体" w:hAnsi="方正小标宋简体" w:eastAsia="方正小标宋简体" w:cs="方正小标宋简体"/>
          <w:color w:val="000000"/>
          <w:sz w:val="36"/>
          <w:szCs w:val="36"/>
          <w:lang w:val="en-US" w:eastAsia="zh-CN"/>
        </w:rPr>
        <w:t>“初次违法不罚”</w:t>
      </w:r>
      <w:r>
        <w:rPr>
          <w:rFonts w:hint="eastAsia" w:ascii="方正小标宋简体" w:hAnsi="方正小标宋简体" w:eastAsia="方正小标宋简体" w:cs="方正小标宋简体"/>
          <w:color w:val="000000"/>
          <w:sz w:val="36"/>
          <w:szCs w:val="36"/>
        </w:rPr>
        <w:t>清单</w:t>
      </w:r>
      <w:bookmarkEnd w:id="0"/>
    </w:p>
    <w:tbl>
      <w:tblPr>
        <w:tblStyle w:val="5"/>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48"/>
        <w:gridCol w:w="3081"/>
        <w:gridCol w:w="2775"/>
        <w:gridCol w:w="184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9"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FFFFFF"/>
            <w:noWrap w:val="0"/>
            <w:tcMar>
              <w:left w:w="70" w:type="dxa"/>
              <w:right w:w="70" w:type="dxa"/>
            </w:tcMar>
            <w:vAlign w:val="center"/>
          </w:tcPr>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3081" w:type="dxa"/>
            <w:tcBorders>
              <w:top w:val="single" w:color="000000" w:sz="4" w:space="0"/>
              <w:left w:val="nil"/>
              <w:bottom w:val="single" w:color="000000" w:sz="4" w:space="0"/>
              <w:right w:val="single" w:color="000000" w:sz="4" w:space="0"/>
            </w:tcBorders>
            <w:shd w:val="clear" w:color="auto" w:fill="FFFFFF"/>
            <w:noWrap w:val="0"/>
            <w:tcMar>
              <w:left w:w="70" w:type="dxa"/>
              <w:right w:w="70" w:type="dxa"/>
            </w:tcMar>
            <w:vAlign w:val="center"/>
          </w:tcPr>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rPr>
              <w:t>违法行为</w:t>
            </w:r>
          </w:p>
        </w:tc>
        <w:tc>
          <w:tcPr>
            <w:tcW w:w="2775" w:type="dxa"/>
            <w:tcBorders>
              <w:top w:val="single" w:color="000000" w:sz="4" w:space="0"/>
              <w:left w:val="nil"/>
              <w:bottom w:val="single" w:color="000000" w:sz="4" w:space="0"/>
              <w:right w:val="single" w:color="000000" w:sz="4" w:space="0"/>
            </w:tcBorders>
            <w:shd w:val="clear" w:color="auto" w:fill="FFFFFF"/>
            <w:noWrap w:val="0"/>
            <w:tcMar>
              <w:left w:w="70" w:type="dxa"/>
              <w:right w:w="70" w:type="dxa"/>
            </w:tcMar>
            <w:vAlign w:val="center"/>
          </w:tcPr>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lang w:eastAsia="zh-CN"/>
              </w:rPr>
              <w:t>适用</w:t>
            </w:r>
            <w:r>
              <w:rPr>
                <w:rFonts w:hint="eastAsia" w:ascii="黑体" w:hAnsi="黑体" w:eastAsia="黑体" w:cs="黑体"/>
                <w:color w:val="000000"/>
                <w:sz w:val="28"/>
                <w:szCs w:val="28"/>
              </w:rPr>
              <w:t>条件</w:t>
            </w:r>
          </w:p>
        </w:tc>
        <w:tc>
          <w:tcPr>
            <w:tcW w:w="1842" w:type="dxa"/>
            <w:tcBorders>
              <w:top w:val="single" w:color="000000" w:sz="4" w:space="0"/>
              <w:left w:val="nil"/>
              <w:bottom w:val="single" w:color="000000" w:sz="4" w:space="0"/>
              <w:right w:val="single" w:color="000000" w:sz="4" w:space="0"/>
            </w:tcBorders>
            <w:shd w:val="clear" w:color="auto" w:fill="FFFFFF"/>
            <w:noWrap w:val="0"/>
            <w:tcMar>
              <w:left w:w="70" w:type="dxa"/>
              <w:right w:w="70" w:type="dxa"/>
            </w:tcMar>
            <w:vAlign w:val="center"/>
          </w:tcPr>
          <w:p>
            <w:pPr>
              <w:jc w:val="center"/>
              <w:rPr>
                <w:rFonts w:hint="eastAsia" w:ascii="黑体" w:hAnsi="黑体" w:eastAsia="黑体" w:cs="黑体"/>
                <w:color w:val="000000"/>
                <w:sz w:val="28"/>
                <w:szCs w:val="28"/>
              </w:rPr>
            </w:pPr>
            <w:r>
              <w:rPr>
                <w:rFonts w:hint="eastAsia" w:ascii="黑体" w:hAnsi="黑体" w:eastAsia="黑体" w:cs="黑体"/>
                <w:color w:val="000000"/>
                <w:sz w:val="28"/>
                <w:szCs w:val="28"/>
              </w:rPr>
              <w:t>法律依据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91" w:hRule="exact"/>
          <w:jc w:val="center"/>
        </w:trPr>
        <w:tc>
          <w:tcPr>
            <w:tcW w:w="748" w:type="dxa"/>
            <w:tcBorders>
              <w:top w:val="nil"/>
              <w:left w:val="single" w:color="000000" w:sz="4" w:space="0"/>
              <w:bottom w:val="single" w:color="000000" w:sz="4" w:space="0"/>
              <w:right w:val="single" w:color="000000" w:sz="4" w:space="0"/>
            </w:tcBorders>
            <w:shd w:val="clear" w:color="auto" w:fill="FFFFFF"/>
            <w:noWrap w:val="0"/>
            <w:tcMar>
              <w:left w:w="70" w:type="dxa"/>
              <w:right w:w="70" w:type="dxa"/>
            </w:tcMar>
            <w:vAlign w:val="center"/>
          </w:tcPr>
          <w:p>
            <w:pPr>
              <w:jc w:val="center"/>
              <w:rPr>
                <w:rFonts w:hint="eastAsia" w:eastAsia="宋体"/>
                <w:color w:val="000000"/>
                <w:lang w:val="en-US" w:eastAsia="zh-CN"/>
              </w:rPr>
            </w:pPr>
            <w:r>
              <w:rPr>
                <w:rFonts w:hint="eastAsia"/>
                <w:color w:val="000000"/>
                <w:lang w:val="en-US" w:eastAsia="zh-CN"/>
              </w:rPr>
              <w:t>1</w:t>
            </w:r>
          </w:p>
        </w:tc>
        <w:tc>
          <w:tcPr>
            <w:tcW w:w="3081" w:type="dxa"/>
            <w:tcBorders>
              <w:top w:val="nil"/>
              <w:left w:val="nil"/>
              <w:bottom w:val="single" w:color="000000" w:sz="4" w:space="0"/>
              <w:right w:val="single" w:color="000000" w:sz="4" w:space="0"/>
            </w:tcBorders>
            <w:shd w:val="clear" w:color="auto" w:fill="FFFFFF"/>
            <w:noWrap w:val="0"/>
            <w:tcMar>
              <w:left w:w="70" w:type="dxa"/>
              <w:right w:w="70" w:type="dxa"/>
            </w:tcMar>
            <w:vAlign w:val="center"/>
          </w:tcPr>
          <w:p>
            <w:pPr>
              <w:rPr>
                <w:rFonts w:hint="default" w:eastAsia="宋体"/>
                <w:color w:val="000000"/>
                <w:lang w:val="en-US" w:eastAsia="zh-CN"/>
              </w:rPr>
            </w:pPr>
            <w:r>
              <w:rPr>
                <w:rFonts w:hint="eastAsia"/>
                <w:lang w:eastAsia="zh-CN"/>
              </w:rPr>
              <w:t>用人单位未按时足额缴纳职工医疗保险费、生育保险费的。</w:t>
            </w:r>
          </w:p>
        </w:tc>
        <w:tc>
          <w:tcPr>
            <w:tcW w:w="2775" w:type="dxa"/>
            <w:tcBorders>
              <w:top w:val="nil"/>
              <w:left w:val="nil"/>
              <w:bottom w:val="single" w:color="000000" w:sz="4" w:space="0"/>
              <w:right w:val="single" w:color="000000" w:sz="4" w:space="0"/>
            </w:tcBorders>
            <w:shd w:val="clear" w:color="auto" w:fill="FFFFFF"/>
            <w:noWrap w:val="0"/>
            <w:tcMar>
              <w:left w:w="70" w:type="dxa"/>
              <w:right w:w="70" w:type="dxa"/>
            </w:tcMar>
            <w:vAlign w:val="center"/>
          </w:tcPr>
          <w:p>
            <w:pPr>
              <w:numPr>
                <w:ilvl w:val="0"/>
                <w:numId w:val="0"/>
              </w:numPr>
              <w:rPr>
                <w:rFonts w:hint="default"/>
                <w:color w:val="000000"/>
                <w:lang w:val="en" w:eastAsia="zh-CN"/>
              </w:rPr>
            </w:pPr>
            <w:r>
              <w:rPr>
                <w:rFonts w:hint="default"/>
                <w:color w:val="000000"/>
                <w:lang w:val="en" w:eastAsia="zh-CN"/>
              </w:rPr>
              <w:t>1.</w:t>
            </w:r>
            <w:r>
              <w:rPr>
                <w:rFonts w:hint="eastAsia"/>
                <w:color w:val="000000"/>
                <w:lang w:val="en-US" w:eastAsia="zh-CN"/>
              </w:rPr>
              <w:t>首次被发现；</w:t>
            </w:r>
          </w:p>
          <w:p>
            <w:pPr>
              <w:rPr>
                <w:rFonts w:hint="default" w:eastAsia="宋体"/>
                <w:color w:val="000000"/>
                <w:lang w:val="en" w:eastAsia="zh-CN"/>
              </w:rPr>
            </w:pPr>
            <w:r>
              <w:rPr>
                <w:rFonts w:hint="default"/>
                <w:color w:val="000000"/>
                <w:lang w:val="en" w:eastAsia="zh-CN"/>
              </w:rPr>
              <w:t>2.</w:t>
            </w:r>
            <w:r>
              <w:rPr>
                <w:rFonts w:hint="eastAsia"/>
                <w:color w:val="000000"/>
                <w:lang w:eastAsia="zh-CN"/>
              </w:rPr>
              <w:t>自行纠正或限期</w:t>
            </w:r>
            <w:r>
              <w:rPr>
                <w:rFonts w:hint="eastAsia"/>
                <w:lang w:eastAsia="zh-CN"/>
              </w:rPr>
              <w:t>内</w:t>
            </w:r>
            <w:r>
              <w:rPr>
                <w:rFonts w:hint="eastAsia"/>
                <w:lang w:val="en-US" w:eastAsia="zh-CN"/>
              </w:rPr>
              <w:t>足额</w:t>
            </w:r>
            <w:r>
              <w:rPr>
                <w:rFonts w:hint="eastAsia"/>
                <w:lang w:eastAsia="zh-CN"/>
              </w:rPr>
              <w:t>缴纳</w:t>
            </w:r>
            <w:r>
              <w:rPr>
                <w:rFonts w:hint="eastAsia"/>
                <w:lang w:val="en-US" w:eastAsia="zh-CN"/>
              </w:rPr>
              <w:t>社会保</w:t>
            </w:r>
            <w:r>
              <w:rPr>
                <w:rFonts w:hint="eastAsia"/>
                <w:color w:val="000000"/>
                <w:lang w:val="en-US" w:eastAsia="zh-CN"/>
              </w:rPr>
              <w:t>险费和滞纳金。</w:t>
            </w:r>
          </w:p>
        </w:tc>
        <w:tc>
          <w:tcPr>
            <w:tcW w:w="1842" w:type="dxa"/>
            <w:tcBorders>
              <w:top w:val="nil"/>
              <w:left w:val="nil"/>
              <w:bottom w:val="nil"/>
              <w:right w:val="single" w:color="000000" w:sz="4" w:space="0"/>
            </w:tcBorders>
            <w:shd w:val="clear" w:color="auto" w:fill="FFFFFF"/>
            <w:noWrap w:val="0"/>
            <w:tcMar>
              <w:left w:w="70" w:type="dxa"/>
              <w:right w:w="70" w:type="dxa"/>
            </w:tcMar>
            <w:vAlign w:val="center"/>
          </w:tcPr>
          <w:p>
            <w:pPr>
              <w:rPr>
                <w:rFonts w:hint="eastAsia" w:eastAsia="宋体"/>
                <w:color w:val="000000"/>
                <w:lang w:val="en-US" w:eastAsia="zh-CN"/>
              </w:rPr>
            </w:pPr>
            <w:r>
              <w:rPr>
                <w:rFonts w:hint="eastAsia"/>
                <w:color w:val="000000"/>
                <w:lang w:val="en-US" w:eastAsia="zh-CN"/>
              </w:rPr>
              <w:t>1.《行政处罚法》第三十三条第一款2.</w:t>
            </w:r>
            <w:r>
              <w:rPr>
                <w:rFonts w:hint="eastAsia"/>
                <w:color w:val="000000"/>
              </w:rPr>
              <w:t>《</w:t>
            </w:r>
            <w:r>
              <w:rPr>
                <w:rFonts w:hint="eastAsia"/>
                <w:color w:val="000000"/>
                <w:lang w:eastAsia="zh-CN"/>
              </w:rPr>
              <w:t>社会保险法</w:t>
            </w:r>
            <w:r>
              <w:rPr>
                <w:rFonts w:hint="eastAsia"/>
                <w:color w:val="000000"/>
              </w:rPr>
              <w:t>》</w:t>
            </w:r>
            <w:r>
              <w:rPr>
                <w:rFonts w:hint="eastAsia"/>
                <w:color w:val="000000"/>
                <w:lang w:eastAsia="zh-CN"/>
              </w:rPr>
              <w:t>第八十六条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63" w:hRule="exact"/>
          <w:jc w:val="center"/>
        </w:trPr>
        <w:tc>
          <w:tcPr>
            <w:tcW w:w="748" w:type="dxa"/>
            <w:tcBorders>
              <w:top w:val="nil"/>
              <w:left w:val="single" w:color="000000" w:sz="4" w:space="0"/>
              <w:bottom w:val="single" w:color="auto" w:sz="4" w:space="0"/>
              <w:right w:val="single" w:color="000000" w:sz="4" w:space="0"/>
            </w:tcBorders>
            <w:shd w:val="clear" w:color="auto" w:fill="FFFFFF"/>
            <w:noWrap w:val="0"/>
            <w:tcMar>
              <w:left w:w="70" w:type="dxa"/>
              <w:right w:w="70" w:type="dxa"/>
            </w:tcMar>
            <w:vAlign w:val="center"/>
          </w:tcPr>
          <w:p>
            <w:pPr>
              <w:jc w:val="center"/>
              <w:rPr>
                <w:rFonts w:hint="eastAsia" w:eastAsia="宋体"/>
                <w:color w:val="000000"/>
                <w:lang w:val="en-US" w:eastAsia="zh-CN"/>
              </w:rPr>
            </w:pPr>
            <w:r>
              <w:rPr>
                <w:rFonts w:hint="eastAsia"/>
                <w:color w:val="000000"/>
                <w:lang w:val="en-US" w:eastAsia="zh-CN"/>
              </w:rPr>
              <w:t>2</w:t>
            </w:r>
          </w:p>
        </w:tc>
        <w:tc>
          <w:tcPr>
            <w:tcW w:w="3081" w:type="dxa"/>
            <w:tcBorders>
              <w:top w:val="nil"/>
              <w:left w:val="nil"/>
              <w:bottom w:val="single" w:color="auto" w:sz="4" w:space="0"/>
              <w:right w:val="single" w:color="000000" w:sz="4" w:space="0"/>
            </w:tcBorders>
            <w:shd w:val="clear" w:color="auto" w:fill="FFFFFF"/>
            <w:noWrap w:val="0"/>
            <w:tcMar>
              <w:left w:w="70" w:type="dxa"/>
              <w:right w:w="70" w:type="dxa"/>
            </w:tcMar>
            <w:vAlign w:val="center"/>
          </w:tcPr>
          <w:p>
            <w:pPr>
              <w:keepNext w:val="0"/>
              <w:keepLines w:val="0"/>
              <w:widowControl/>
              <w:suppressLineNumbers w:val="0"/>
              <w:jc w:val="left"/>
              <w:rPr>
                <w:rFonts w:hint="eastAsia"/>
                <w:color w:val="000000"/>
                <w:lang w:val="en-US" w:eastAsia="zh-CN"/>
              </w:rPr>
            </w:pPr>
            <w:r>
              <w:rPr>
                <w:rFonts w:hint="eastAsia"/>
                <w:color w:val="000000"/>
                <w:lang w:val="en-US" w:eastAsia="zh-CN"/>
              </w:rPr>
              <w:t>用人单位未按照规定办理职工医疗保险费、生育保险费登记、变更登记或者注销登记的。</w:t>
            </w:r>
          </w:p>
          <w:p>
            <w:pPr>
              <w:rPr>
                <w:color w:val="000000"/>
              </w:rPr>
            </w:pPr>
          </w:p>
        </w:tc>
        <w:tc>
          <w:tcPr>
            <w:tcW w:w="2775" w:type="dxa"/>
            <w:tcBorders>
              <w:top w:val="nil"/>
              <w:left w:val="nil"/>
              <w:bottom w:val="single" w:color="auto" w:sz="4" w:space="0"/>
              <w:right w:val="single" w:color="000000" w:sz="4" w:space="0"/>
            </w:tcBorders>
            <w:shd w:val="clear" w:color="auto" w:fill="FFFFFF"/>
            <w:noWrap w:val="0"/>
            <w:tcMar>
              <w:left w:w="70" w:type="dxa"/>
              <w:right w:w="70" w:type="dxa"/>
            </w:tcMar>
            <w:vAlign w:val="center"/>
          </w:tcPr>
          <w:p>
            <w:pPr>
              <w:numPr>
                <w:ilvl w:val="0"/>
                <w:numId w:val="1"/>
              </w:numPr>
              <w:rPr>
                <w:rFonts w:hint="eastAsia"/>
                <w:color w:val="000000"/>
                <w:lang w:val="en-US" w:eastAsia="zh-CN"/>
              </w:rPr>
            </w:pPr>
            <w:r>
              <w:rPr>
                <w:rFonts w:hint="eastAsia"/>
                <w:color w:val="000000"/>
                <w:lang w:val="en-US" w:eastAsia="zh-CN"/>
              </w:rPr>
              <w:t>首次被发现；</w:t>
            </w:r>
          </w:p>
          <w:p>
            <w:pPr>
              <w:numPr>
                <w:ilvl w:val="0"/>
                <w:numId w:val="1"/>
              </w:numPr>
              <w:rPr>
                <w:rFonts w:hint="default"/>
                <w:color w:val="000000"/>
                <w:lang w:val="en-US" w:eastAsia="zh-CN"/>
              </w:rPr>
            </w:pPr>
            <w:r>
              <w:rPr>
                <w:rFonts w:hint="eastAsia"/>
                <w:color w:val="000000"/>
                <w:lang w:eastAsia="zh-CN"/>
              </w:rPr>
              <w:t>自行纠正</w:t>
            </w:r>
            <w:r>
              <w:rPr>
                <w:rFonts w:hint="eastAsia"/>
                <w:color w:val="000000"/>
                <w:lang w:val="en-US" w:eastAsia="zh-CN"/>
              </w:rPr>
              <w:t>或限期内办理登记；</w:t>
            </w:r>
          </w:p>
          <w:p>
            <w:pPr>
              <w:numPr>
                <w:ilvl w:val="0"/>
                <w:numId w:val="1"/>
              </w:numPr>
              <w:rPr>
                <w:rFonts w:hint="default"/>
                <w:color w:val="000000"/>
                <w:lang w:val="en-US" w:eastAsia="zh-CN"/>
              </w:rPr>
            </w:pPr>
            <w:r>
              <w:rPr>
                <w:rFonts w:hint="eastAsia"/>
                <w:color w:val="000000"/>
                <w:lang w:eastAsia="zh-CN"/>
              </w:rPr>
              <w:t>违法情节轻微未造成危害后果。</w:t>
            </w:r>
          </w:p>
        </w:tc>
        <w:tc>
          <w:tcPr>
            <w:tcW w:w="1842" w:type="dxa"/>
            <w:tcBorders>
              <w:top w:val="single" w:color="000000" w:sz="4" w:space="0"/>
              <w:left w:val="nil"/>
              <w:bottom w:val="single" w:color="auto" w:sz="4" w:space="0"/>
              <w:right w:val="single" w:color="000000" w:sz="4" w:space="0"/>
            </w:tcBorders>
            <w:shd w:val="clear" w:color="auto" w:fill="FFFFFF"/>
            <w:noWrap w:val="0"/>
            <w:tcMar>
              <w:left w:w="70" w:type="dxa"/>
              <w:right w:w="70" w:type="dxa"/>
            </w:tcMar>
            <w:vAlign w:val="center"/>
          </w:tcPr>
          <w:p>
            <w:pPr>
              <w:numPr>
                <w:ilvl w:val="0"/>
                <w:numId w:val="2"/>
              </w:numPr>
              <w:rPr>
                <w:rFonts w:hint="eastAsia"/>
                <w:color w:val="000000"/>
                <w:lang w:eastAsia="zh-CN"/>
              </w:rPr>
            </w:pPr>
            <w:r>
              <w:rPr>
                <w:rFonts w:hint="eastAsia"/>
                <w:color w:val="000000"/>
                <w:lang w:val="en-US" w:eastAsia="zh-CN"/>
              </w:rPr>
              <w:t>《行政处罚法》第三十三条第一款2.</w:t>
            </w:r>
            <w:r>
              <w:rPr>
                <w:rFonts w:hint="eastAsia"/>
                <w:color w:val="000000"/>
              </w:rPr>
              <w:t>《</w:t>
            </w:r>
            <w:r>
              <w:rPr>
                <w:rFonts w:hint="eastAsia"/>
                <w:color w:val="000000"/>
                <w:lang w:eastAsia="zh-CN"/>
              </w:rPr>
              <w:t>社会保险法</w:t>
            </w:r>
            <w:r>
              <w:rPr>
                <w:rFonts w:hint="eastAsia"/>
                <w:color w:val="000000"/>
              </w:rPr>
              <w:t>》</w:t>
            </w:r>
            <w:r>
              <w:rPr>
                <w:rFonts w:hint="eastAsia"/>
                <w:color w:val="000000"/>
                <w:lang w:eastAsia="zh-CN"/>
              </w:rPr>
              <w:t>第八十四条</w:t>
            </w:r>
          </w:p>
          <w:p>
            <w:pPr>
              <w:keepNext w:val="0"/>
              <w:keepLines w:val="0"/>
              <w:widowControl/>
              <w:suppressLineNumbers w:val="0"/>
              <w:jc w:val="left"/>
              <w:rPr>
                <w:rFonts w:hint="eastAsia"/>
                <w:color w:val="000000"/>
                <w:lang w:eastAsia="zh-CN"/>
              </w:rPr>
            </w:pPr>
            <w:r>
              <w:rPr>
                <w:rFonts w:hint="eastAsia"/>
                <w:color w:val="000000"/>
                <w:lang w:val="en-US" w:eastAsia="zh-CN"/>
              </w:rPr>
              <w:t>3《社会保险费征缴暂行条例》第二十三条</w:t>
            </w:r>
          </w:p>
          <w:p>
            <w:pPr>
              <w:numPr>
                <w:ilvl w:val="0"/>
                <w:numId w:val="0"/>
              </w:numPr>
              <w:rPr>
                <w:rFonts w:hint="default"/>
                <w:color w:val="000000"/>
                <w:lang w:val="en-US" w:eastAsia="zh-CN"/>
              </w:rPr>
            </w:pPr>
            <w:r>
              <w:rPr>
                <w:rFonts w:hint="eastAsia"/>
                <w:color w:val="000000"/>
                <w:lang w:val="en-US" w:eastAsia="zh-CN"/>
              </w:rPr>
              <w:t>4.《社会保险费征缴检查办法》第十二条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42"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jc w:val="center"/>
              <w:rPr>
                <w:rFonts w:hint="default"/>
                <w:color w:val="000000"/>
                <w:lang w:val="en-US" w:eastAsia="zh-CN"/>
              </w:rPr>
            </w:pPr>
            <w:r>
              <w:rPr>
                <w:rFonts w:hint="eastAsia"/>
                <w:color w:val="000000"/>
                <w:lang w:val="en-US" w:eastAsia="zh-CN"/>
              </w:rPr>
              <w:t>3</w:t>
            </w:r>
          </w:p>
        </w:tc>
        <w:tc>
          <w:tcPr>
            <w:tcW w:w="3081"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keepNext w:val="0"/>
              <w:keepLines w:val="0"/>
              <w:widowControl/>
              <w:suppressLineNumbers w:val="0"/>
              <w:jc w:val="left"/>
              <w:rPr>
                <w:rFonts w:hint="eastAsia"/>
                <w:color w:val="000000"/>
                <w:lang w:val="en-US" w:eastAsia="zh-CN"/>
              </w:rPr>
            </w:pPr>
            <w:r>
              <w:rPr>
                <w:rFonts w:hint="eastAsia"/>
                <w:color w:val="000000"/>
                <w:lang w:val="en-US" w:eastAsia="zh-CN"/>
              </w:rPr>
              <w:t>用人单位未按照规定申报应缴纳的社会保险费数额的。</w:t>
            </w:r>
          </w:p>
          <w:p>
            <w:pPr>
              <w:rPr>
                <w:color w:val="000000"/>
              </w:rPr>
            </w:pPr>
          </w:p>
        </w:tc>
        <w:tc>
          <w:tcPr>
            <w:tcW w:w="2775"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numPr>
                <w:ilvl w:val="0"/>
                <w:numId w:val="0"/>
              </w:numPr>
              <w:rPr>
                <w:rFonts w:hint="eastAsia"/>
                <w:color w:val="000000"/>
                <w:lang w:val="en-US" w:eastAsia="zh-CN"/>
              </w:rPr>
            </w:pPr>
            <w:r>
              <w:rPr>
                <w:rFonts w:hint="eastAsia"/>
                <w:color w:val="000000"/>
                <w:lang w:val="en-US" w:eastAsia="zh-CN"/>
              </w:rPr>
              <w:t>1.首次被发现；</w:t>
            </w:r>
          </w:p>
          <w:p>
            <w:pPr>
              <w:numPr>
                <w:ilvl w:val="0"/>
                <w:numId w:val="0"/>
              </w:numPr>
              <w:rPr>
                <w:rFonts w:hint="default"/>
                <w:color w:val="000000"/>
                <w:lang w:val="en-US" w:eastAsia="zh-CN"/>
              </w:rPr>
            </w:pPr>
            <w:r>
              <w:rPr>
                <w:rFonts w:hint="eastAsia"/>
                <w:color w:val="000000"/>
                <w:lang w:val="en-US" w:eastAsia="zh-CN"/>
              </w:rPr>
              <w:t>2.</w:t>
            </w:r>
            <w:r>
              <w:rPr>
                <w:rFonts w:hint="eastAsia"/>
                <w:color w:val="000000"/>
                <w:lang w:eastAsia="zh-CN"/>
              </w:rPr>
              <w:t>自行纠正或限期内</w:t>
            </w:r>
            <w:r>
              <w:rPr>
                <w:rFonts w:hint="eastAsia"/>
                <w:color w:val="000000"/>
                <w:lang w:val="en-US" w:eastAsia="zh-CN"/>
              </w:rPr>
              <w:t>申报</w:t>
            </w:r>
            <w:r>
              <w:rPr>
                <w:rFonts w:hint="eastAsia"/>
                <w:color w:val="000000"/>
                <w:lang w:eastAsia="zh-CN"/>
              </w:rPr>
              <w:t>；</w:t>
            </w:r>
          </w:p>
          <w:p>
            <w:pPr>
              <w:numPr>
                <w:ilvl w:val="0"/>
                <w:numId w:val="0"/>
              </w:numPr>
              <w:rPr>
                <w:rFonts w:hint="eastAsia"/>
                <w:color w:val="000000"/>
              </w:rPr>
            </w:pPr>
            <w:r>
              <w:rPr>
                <w:rFonts w:hint="eastAsia"/>
                <w:color w:val="000000"/>
                <w:lang w:val="en-US" w:eastAsia="zh-CN"/>
              </w:rPr>
              <w:t>3.</w:t>
            </w:r>
            <w:r>
              <w:rPr>
                <w:rFonts w:hint="eastAsia"/>
                <w:color w:val="000000"/>
                <w:lang w:eastAsia="zh-CN"/>
              </w:rPr>
              <w:t>违法情节轻微未造成危害后果。</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keepNext w:val="0"/>
              <w:keepLines w:val="0"/>
              <w:widowControl/>
              <w:suppressLineNumbers w:val="0"/>
              <w:jc w:val="left"/>
              <w:rPr>
                <w:rFonts w:hint="eastAsia"/>
                <w:color w:val="000000"/>
                <w:lang w:eastAsia="zh-CN"/>
              </w:rPr>
            </w:pPr>
            <w:r>
              <w:rPr>
                <w:rFonts w:hint="eastAsia"/>
                <w:color w:val="000000"/>
                <w:lang w:val="en-US" w:eastAsia="zh-CN"/>
              </w:rPr>
              <w:t>1.《行政处罚法》第三十三条第一款2.《社会保险费征缴暂行条例》第二十三条</w:t>
            </w:r>
          </w:p>
          <w:p>
            <w:pPr>
              <w:rPr>
                <w:rFonts w:hint="eastAsia"/>
                <w:color w:val="000000"/>
                <w:lang w:val="en-US" w:eastAsia="zh-CN"/>
              </w:rPr>
            </w:pPr>
            <w:r>
              <w:rPr>
                <w:rFonts w:hint="eastAsia"/>
                <w:color w:val="000000"/>
                <w:lang w:val="en-US" w:eastAsia="zh-CN"/>
              </w:rPr>
              <w:t>3.《社会保险费征缴检查办法》第十二条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42"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jc w:val="center"/>
              <w:rPr>
                <w:rFonts w:hint="default"/>
                <w:color w:val="000000"/>
                <w:lang w:val="en-US" w:eastAsia="zh-CN"/>
              </w:rPr>
            </w:pPr>
            <w:r>
              <w:rPr>
                <w:rFonts w:hint="eastAsia"/>
                <w:color w:val="000000"/>
                <w:lang w:val="en-US" w:eastAsia="zh-CN"/>
              </w:rPr>
              <w:t>4</w:t>
            </w:r>
          </w:p>
        </w:tc>
        <w:tc>
          <w:tcPr>
            <w:tcW w:w="3081"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rPr>
                <w:color w:val="000000"/>
              </w:rPr>
            </w:pPr>
            <w:r>
              <w:rPr>
                <w:rFonts w:hint="eastAsia"/>
                <w:color w:val="000000"/>
              </w:rPr>
              <w:t>（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2775"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rPr>
                <w:rFonts w:hint="eastAsia"/>
                <w:color w:val="000000"/>
                <w:lang w:val="en-US" w:eastAsia="zh-CN"/>
              </w:rPr>
            </w:pPr>
            <w:r>
              <w:rPr>
                <w:rFonts w:hint="eastAsia"/>
                <w:color w:val="000000"/>
              </w:rPr>
              <w:t>初次违法且及时改正的，约谈有关负责人。</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left w:w="70" w:type="dxa"/>
              <w:right w:w="70" w:type="dxa"/>
            </w:tcMar>
            <w:vAlign w:val="center"/>
          </w:tcPr>
          <w:p>
            <w:pPr>
              <w:rPr>
                <w:rFonts w:hint="eastAsia"/>
                <w:color w:val="000000"/>
                <w:lang w:val="en-US" w:eastAsia="zh-CN"/>
              </w:rPr>
            </w:pPr>
            <w:r>
              <w:rPr>
                <w:rFonts w:hint="eastAsia"/>
                <w:color w:val="000000"/>
                <w:lang w:val="en-US" w:eastAsia="zh-CN"/>
              </w:rPr>
              <w:t>1.《行政处罚法》第三十三条第一款2.</w:t>
            </w:r>
            <w:r>
              <w:rPr>
                <w:rFonts w:hint="eastAsia"/>
                <w:color w:val="000000"/>
              </w:rPr>
              <w:t>《医疗保障基金使用监督管理条例》</w:t>
            </w:r>
            <w:r>
              <w:rPr>
                <w:rFonts w:hint="eastAsia"/>
                <w:color w:val="000000"/>
                <w:lang w:eastAsia="zh-CN"/>
              </w:rPr>
              <w:t>第三十九条</w:t>
            </w:r>
          </w:p>
        </w:tc>
      </w:tr>
    </w:tbl>
    <w:p/>
    <w:p>
      <w:pPr>
        <w:keepNext w:val="0"/>
        <w:keepLines w:val="0"/>
        <w:pageBreakBefore w:val="0"/>
        <w:kinsoku/>
        <w:wordWrap/>
        <w:overflowPunct/>
        <w:topLinePunct w:val="0"/>
        <w:autoSpaceDE/>
        <w:autoSpaceDN/>
        <w:bidi w:val="0"/>
        <w:adjustRightInd/>
        <w:snapToGrid/>
        <w:spacing w:line="560" w:lineRule="exact"/>
        <w:ind w:firstLine="0"/>
        <w:textAlignment w:val="auto"/>
        <w:rPr>
          <w:color w:val="auto"/>
        </w:rPr>
      </w:pPr>
    </w:p>
    <w:p/>
    <w:p/>
    <w:sectPr>
      <w:footerReference r:id="rId3" w:type="default"/>
      <w:pgSz w:w="11906" w:h="16838"/>
      <w:pgMar w:top="2098" w:right="1474" w:bottom="1984" w:left="1587" w:header="851" w:footer="158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CFE87"/>
    <w:multiLevelType w:val="singleLevel"/>
    <w:tmpl w:val="BF5CFE87"/>
    <w:lvl w:ilvl="0" w:tentative="0">
      <w:start w:val="1"/>
      <w:numFmt w:val="decimal"/>
      <w:lvlText w:val="%1."/>
      <w:lvlJc w:val="left"/>
      <w:pPr>
        <w:tabs>
          <w:tab w:val="left" w:pos="312"/>
        </w:tabs>
      </w:pPr>
    </w:lvl>
  </w:abstractNum>
  <w:abstractNum w:abstractNumId="1">
    <w:nsid w:val="57FAB65B"/>
    <w:multiLevelType w:val="singleLevel"/>
    <w:tmpl w:val="57FAB65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ODBjYzIxOTllMDgwZWVkZGFjNDg0NjQ5MjhmYmYifQ=="/>
  </w:docVars>
  <w:rsids>
    <w:rsidRoot w:val="00000000"/>
    <w:rsid w:val="0A65314B"/>
    <w:rsid w:val="0F9F3842"/>
    <w:rsid w:val="16AA18B4"/>
    <w:rsid w:val="276250AB"/>
    <w:rsid w:val="3AC2664B"/>
    <w:rsid w:val="47895651"/>
    <w:rsid w:val="52485CA2"/>
    <w:rsid w:val="5E774B86"/>
    <w:rsid w:val="5FB21272"/>
    <w:rsid w:val="63354648"/>
    <w:rsid w:val="67543B13"/>
    <w:rsid w:val="78B06194"/>
    <w:rsid w:val="7C3E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2022-07-07T09:03:00Z</dcterms:created>
  <dc:creator>Administrator</dc:creator>
  <cp:lastModifiedBy>Administrator</cp:lastModifiedBy>
  <dcterms:modified xsi:type="dcterms:W3CDTF">2022-11-25T08:35:19Z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AC903A56B8C24D3EA0754263BFEB1243</vt:lpwstr>
  </property>
</Properties>
</file>