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表1-3 餐饮服务日常监督检查要点表</w:t>
      </w:r>
    </w:p>
    <w:p>
      <w:pPr>
        <w:spacing w:line="480" w:lineRule="exac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重点项(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*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)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 xml:space="preserve"> 7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项,一般项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23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项,共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30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项</w:t>
      </w:r>
    </w:p>
    <w:tbl>
      <w:tblPr>
        <w:tblStyle w:val="2"/>
        <w:tblW w:w="1434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31"/>
        <w:gridCol w:w="993"/>
        <w:gridCol w:w="7796"/>
        <w:gridCol w:w="1417"/>
        <w:gridCol w:w="24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tblHeader/>
          <w:jc w:val="center"/>
        </w:trPr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检查结果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一、许可管理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食品经营许可证合法有效，经营场所、主体业态、经营项目等事项与食品经营许可证一致。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二、信息公示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在经营场所醒目位置公示食品经营许可证。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3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监督检查结果记录表公示的时间、位置等符合要求。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在经营场所醒目位置公示量化等级标识。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张贴上次监督检查结果记录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zh-CN"/>
              </w:rPr>
              <w:t>公示量化等级标识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三、制度管理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*5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建立从业人员健康管理、食品安全自查、进货查验记录、食品召回等食品安全管理制度。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食品安全管理制度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缺失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货台账信息记录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进口预包装食品入境货物检验检疫证明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是否齐全、食品安全自查制度是否建立并留有记录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能否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提供餐厨废弃物收运协议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有无餐厨废弃物处置台账，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产生废弃油脂的企业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配备废弃油脂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专用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收集容器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*6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制定食品安全事故处置方案。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制定食品安全事故处置方案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四、人员管理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*7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主要负责人知晓食品安全责任，有食品安全管理人员。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zh-CN"/>
              </w:rPr>
              <w:t>能够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提供食品安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全管理人员培训和考核证明材料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现场询问工作人员，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食品安全知识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欠缺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食品安全管理人员信息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是否公示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*8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从事接触直接入口食品工作的从业人员持有有效的健康证明。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学校食堂从业人员健康证公示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齐全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并在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醒目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位置公示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具有从业人员食品安全培训记录。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食品安全培训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并留有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记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从业人员穿戴清洁的工作衣帽，双手清洁，保持个人卫生。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加工人员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着装是否规范，有无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头发外露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3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五、环境卫生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食品经营场所保持清洁、卫生。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灭蝇设施，防鼠设施，防尘设施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是否齐全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食品处理区地面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积水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6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烹饪场所配置排风设备，定期清洁。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用水符合生活饮用水卫生标准。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卫生间保持清洁、卫生，定期清理。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6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六、原料控制（含食品添加剂）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查验供货者的许可证和食品出厂检验合格证或其他合格证明，企业如实记录有关信息并保存相关凭证。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原料外包装标识符合要求，按照外包装标识的条件和要求规范贮存，并定期检查，及时清理变质或者超过保质期的食品。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散装食品贮存位置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标明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加贴标签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过保质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食品；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</w:rPr>
              <w:t>食品贮存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</w:rPr>
              <w:t>离地离墙，不同食品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固定存放位置和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标识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食品贮存设施的温度、湿度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是否满足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产品贮存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24"/>
                <w:szCs w:val="24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食品标签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是否符合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标准要求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印制的生产日期、保质期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模糊、不易辨识。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未包装的食用农产品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展示产品信息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2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食品添加剂由专人负责保管、领用、登记，并有相关记录。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七、加工制作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过程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食品原料、半成品与成品在盛放、贮存时相互分开。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  <w:jc w:val="center"/>
        </w:trPr>
        <w:tc>
          <w:tcPr>
            <w:tcW w:w="173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制作食品的设施设备及加工工具、容器等具有显著标识，按标识区分使用。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蔬菜、肉类的刀、砧板、盛装容器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区分使用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清洗水池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数量是否足够并标识用途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专间内由明确的专人进行操作，使用专用的加工工具。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食品留样符合规范。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留样品种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齐全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留样冰箱是否标识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  <w:jc w:val="center"/>
        </w:trPr>
        <w:tc>
          <w:tcPr>
            <w:tcW w:w="173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中央厨房、集体用餐配送单位配送食品的标识、储存、运输等符合要求。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continue"/>
            <w:tcBorders>
              <w:left w:val="single" w:color="000000" w:sz="2" w:space="0"/>
              <w:bottom w:val="single" w:color="auto" w:sz="6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有毒有害物质不得与食品一同贮存、运输。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食品与非食品是否混放，并分别标识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2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八、设施设备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及维护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专间内配备专用的消毒（含空气消毒）、冷藏、冷冻、空调等设施，设施运转正常。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</w:rPr>
              <w:t>冷藏冷冻库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、冷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藏冷冻车以及冷藏冷冻设施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设备内部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、外部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温度显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</w:rPr>
              <w:t>示设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食品处理区配备运转正常的洗手消毒设施。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配备洗手液、消毒液、干手设施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before="30" w:after="0" w:line="246" w:lineRule="auto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专间入口洗手处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张贴洗手消毒方法标识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配备洗手液、手部消毒用品。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0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食品处理区配备带盖的餐厨废弃物存放容器。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</w:rPr>
              <w:t>食品处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理区废弃物容器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</w:rPr>
              <w:t>标识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带盖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*27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食品加工、贮存、陈列等设施设备运转正常，并保持清洁。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17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九、餐饮具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清洗消毒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集中消毒餐具、饮具的采购符合要求。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具有餐具、饮具的清洗、消毒、保洁设备设施，并运转正常。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  <w:jc w:val="center"/>
        </w:trPr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餐具、饮具和盛放直接入口食品的容器用后洗净、消毒，炊具、用具用后洗净，保持清洁。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保洁柜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是否密闭并有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标识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  <w:jc w:val="center"/>
        </w:trPr>
        <w:tc>
          <w:tcPr>
            <w:tcW w:w="14347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仿宋_GB2312" w:hAnsi="黑体" w:eastAsia="仿宋_GB2312" w:cs="Calibri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/>
                <w:kern w:val="0"/>
                <w:sz w:val="24"/>
              </w:rPr>
              <w:t>其他需要记录的问题：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各功能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区域划分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是否有显著标识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食品传递过程中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无防护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调味品容器使用后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加盖存放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  <w:szCs w:val="24"/>
              </w:rPr>
              <w:t>对消毒液浓度进行定时测量并记录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安装在暴露食品正上方的照明设施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防护罩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提供消费者投诉记录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说明：</w:t>
      </w:r>
      <w:r>
        <w:rPr>
          <w:rFonts w:ascii="仿宋" w:hAnsi="仿宋" w:eastAsia="仿宋" w:cs="宋体"/>
          <w:color w:val="000000"/>
          <w:kern w:val="0"/>
          <w:sz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.表中*号项目为重点项，其他项目为一般项。每次检查的重点项应不少于</w:t>
      </w:r>
      <w:r>
        <w:rPr>
          <w:rFonts w:ascii="仿宋" w:hAnsi="仿宋" w:eastAsia="仿宋" w:cs="宋体"/>
          <w:color w:val="000000"/>
          <w:kern w:val="0"/>
          <w:sz w:val="24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项，一般项应不少于</w:t>
      </w:r>
      <w:r>
        <w:rPr>
          <w:rFonts w:ascii="仿宋" w:hAnsi="仿宋" w:eastAsia="仿宋" w:cs="宋体"/>
          <w:color w:val="000000"/>
          <w:kern w:val="0"/>
          <w:sz w:val="24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项。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2.检查结果判定方法：①符合：未发现检查的重点项和一般项存在问题；②基本符合：发现检查的重点项存在1项及以下不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合格且70%≤一般项合格率＜10</w:t>
      </w:r>
      <w:r>
        <w:rPr>
          <w:rFonts w:ascii="仿宋" w:hAnsi="仿宋" w:eastAsia="仿宋" w:cs="宋体"/>
          <w:color w:val="000000"/>
          <w:kern w:val="0"/>
          <w:sz w:val="24"/>
        </w:rPr>
        <w:t>0%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；③不符合：发现检查的重点项存在</w:t>
      </w:r>
      <w:r>
        <w:rPr>
          <w:rFonts w:ascii="仿宋" w:hAnsi="仿宋" w:eastAsia="仿宋" w:cs="宋体"/>
          <w:color w:val="000000"/>
          <w:kern w:val="0"/>
          <w:sz w:val="24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项及以上不合格，或一般项合格率＜</w:t>
      </w:r>
      <w:r>
        <w:rPr>
          <w:rFonts w:ascii="仿宋" w:hAnsi="仿宋" w:eastAsia="仿宋" w:cs="宋体"/>
          <w:color w:val="000000"/>
          <w:kern w:val="0"/>
          <w:sz w:val="24"/>
        </w:rPr>
        <w:t>70%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3．当次检查发现的不合格项目，应列入下次检查必查项目。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4．存在合理缺项时，一般项合格率的计算方法为：合格项目数/（检查的项目数－合理缺项的项目数）×100%。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4FB85"/>
    <w:multiLevelType w:val="singleLevel"/>
    <w:tmpl w:val="AAC4FB8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3BD4AF1"/>
    <w:multiLevelType w:val="singleLevel"/>
    <w:tmpl w:val="D3BD4AF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F132255"/>
    <w:multiLevelType w:val="singleLevel"/>
    <w:tmpl w:val="FF132255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2CE2D478"/>
    <w:multiLevelType w:val="singleLevel"/>
    <w:tmpl w:val="2CE2D478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5A09C19"/>
    <w:multiLevelType w:val="singleLevel"/>
    <w:tmpl w:val="35A09C19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4BC95E3"/>
    <w:multiLevelType w:val="singleLevel"/>
    <w:tmpl w:val="44BC95E3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D96DE37"/>
    <w:multiLevelType w:val="singleLevel"/>
    <w:tmpl w:val="7D96DE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18A7"/>
    <w:rsid w:val="671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2021-08-03T06:59:00Z</dcterms:created>
  <dc:creator>华超</dc:creator>
  <cp:lastModifiedBy>华超</cp:lastModifiedBy>
  <dcterms:modified xsi:type="dcterms:W3CDTF">2021-08-03T06:59:56Z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693CAD95776B4FFFA67F6C8718B5AEF2</vt:lpwstr>
  </property>
</Properties>
</file>