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spacing w:before="156" w:beforeLines="50" w:after="156" w:afterLines="50" w:line="56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rFonts w:hint="eastAsia" w:ascii="方正小标宋简体" w:eastAsia="方正小标宋简体" w:cs="Times New Roman"/>
          <w:sz w:val="44"/>
          <w:szCs w:val="44"/>
        </w:rPr>
        <w:t>不合格项目说明</w:t>
      </w:r>
    </w:p>
    <w:p>
      <w:pPr>
        <w:pStyle w:val="3"/>
        <w:widowControl/>
        <w:wordWrap w:val="0"/>
        <w:adjustRightInd w:val="0"/>
        <w:snapToGrid w:val="0"/>
        <w:spacing w:before="0" w:beforeAutospacing="0" w:after="0" w:afterAutospacing="0" w:line="579" w:lineRule="exact"/>
        <w:jc w:val="center"/>
        <w:rPr>
          <w:rFonts w:ascii="宋体" w:hAnsi="宋体" w:cs="宋体"/>
          <w:b/>
          <w:bCs/>
          <w:color w:val="auto"/>
          <w:kern w:val="2"/>
          <w:sz w:val="36"/>
          <w:szCs w:val="36"/>
          <w:u w:val="none"/>
        </w:rPr>
      </w:pPr>
    </w:p>
    <w:p>
      <w:pPr>
        <w:pStyle w:val="3"/>
        <w:widowControl/>
        <w:wordWrap w:val="0"/>
        <w:adjustRightInd w:val="0"/>
        <w:snapToGrid w:val="0"/>
        <w:spacing w:before="0" w:beforeAutospacing="0" w:after="0" w:afterAutospacing="0" w:line="579" w:lineRule="exact"/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u w:val="none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u w:val="none"/>
        </w:rPr>
        <w:t>二氧化硫残留量</w:t>
      </w:r>
    </w:p>
    <w:p>
      <w:pPr>
        <w:spacing w:line="64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二氧化硫是国内外允许使用的一种食品添加剂，通常情况下该物质以焦亚硫酸钾、焦亚硫酸钠、亚硫酸钠、亚硫酸氢钠、低亚硫酸钠等亚硫酸盐的形式添加于食品中，或采用硫磺熏蒸的方式用于食品处理，发挥漂白、防腐和抗氧化的作用。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食品添加剂使用标准》（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GB 2760</w:t>
      </w: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—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2014</w:t>
      </w:r>
      <w:r>
        <w:rPr>
          <w:rFonts w:hint="eastAsia" w:ascii="Times New Roman" w:hAnsi="Times New Roman" w:eastAsia="仿宋_GB2312"/>
          <w:sz w:val="32"/>
          <w:szCs w:val="32"/>
        </w:rPr>
        <w:t>）中规定，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食用菌制品</w:t>
      </w:r>
      <w:r>
        <w:rPr>
          <w:rFonts w:hint="eastAsia" w:ascii="Times New Roman" w:hAnsi="Times New Roman" w:eastAsia="仿宋_GB2312"/>
          <w:sz w:val="32"/>
          <w:szCs w:val="32"/>
        </w:rPr>
        <w:t>二氧化硫残留量不应超过</w:t>
      </w:r>
      <w:r>
        <w:rPr>
          <w:rFonts w:ascii="Times New Roman" w:hAnsi="Times New Roman" w:eastAsia="仿宋_GB2312"/>
          <w:sz w:val="32"/>
          <w:szCs w:val="32"/>
        </w:rPr>
        <w:t>0.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05</w:t>
      </w:r>
      <w:r>
        <w:rPr>
          <w:rFonts w:ascii="Times New Roman" w:hAnsi="Times New Roman" w:eastAsia="仿宋_GB2312"/>
          <w:sz w:val="32"/>
          <w:szCs w:val="32"/>
        </w:rPr>
        <w:t>g/kg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蜜饯凉果</w:t>
      </w:r>
      <w:r>
        <w:rPr>
          <w:rFonts w:hint="eastAsia" w:ascii="Times New Roman" w:hAnsi="Times New Roman" w:eastAsia="仿宋_GB2312"/>
          <w:sz w:val="32"/>
          <w:szCs w:val="32"/>
        </w:rPr>
        <w:t>二氧化硫残留量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的最大使用量为0.35g/kg</w:t>
      </w:r>
      <w:r>
        <w:rPr>
          <w:rFonts w:hint="eastAsia" w:ascii="Times New Roman" w:hAnsi="Times New Roman" w:eastAsia="仿宋_GB2312"/>
          <w:sz w:val="32"/>
          <w:szCs w:val="32"/>
        </w:rPr>
        <w:t>二氧化硫进入人体后最终转化为硫酸盐并随尿液排出体外，少量摄入不会对身体带来健康危害，但若过量食用可能引起如恶心、呕吐等胃肠道反应。</w:t>
      </w:r>
    </w:p>
    <w:p>
      <w:pPr>
        <w:pStyle w:val="3"/>
        <w:widowControl/>
        <w:wordWrap w:val="0"/>
        <w:adjustRightInd w:val="0"/>
        <w:snapToGrid w:val="0"/>
        <w:spacing w:before="0" w:beforeAutospacing="0" w:after="0" w:afterAutospacing="0" w:line="579" w:lineRule="exact"/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u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u w:val="none"/>
        </w:rPr>
        <w:t>、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u w:val="none"/>
          <w:lang w:val="en-US" w:eastAsia="zh-CN"/>
        </w:rPr>
        <w:t>过氧化值</w:t>
      </w:r>
    </w:p>
    <w:p>
      <w:pPr>
        <w:spacing w:line="64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炒货制品及坚果制品中的过氧化值（以脂肪计）应≤0.80g/100g。过氧化值主要反映食品中油脂是否氧化变质。随着油脂氧化，过氧化值会逐步升高，虽一般不会对人体的健康产生损害，但严重时会导致肠胃不适、腹泻等症状。过氧化值超标的原因可能是产品用油已经变质，或者产品在储存过程中环境条件控制不当，导致油脂酸败；也可能是原料中的脂肪已经氧化，原料储存不当，未采取有效的抗氧化措施，使得终产品油脂氧化。</w:t>
      </w:r>
    </w:p>
    <w:p>
      <w:pPr>
        <w:pStyle w:val="3"/>
        <w:widowControl/>
        <w:wordWrap w:val="0"/>
        <w:adjustRightInd w:val="0"/>
        <w:snapToGrid w:val="0"/>
        <w:spacing w:before="0" w:beforeAutospacing="0" w:after="0" w:afterAutospacing="0" w:line="579" w:lineRule="exact"/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u w:val="none"/>
          <w:lang w:val="en-US" w:eastAsia="zh-CN"/>
        </w:rPr>
        <w:t>3.苯甲酸</w:t>
      </w:r>
    </w:p>
    <w:p>
      <w:pPr>
        <w:numPr>
          <w:numId w:val="0"/>
        </w:numPr>
        <w:spacing w:line="640" w:lineRule="exact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  苯甲酸及其钠盐是食品工业中常见的一种防腐剂，对霉菌、酵母和细菌有较好的抑制作用。《食品安全国家标准食品添加剂使用标准》（GB 2760—2014）中规定，豆制品中不得使用苯甲酸。苯甲酸及其钠盐的安全性较高，少量苯甲酸对人体无毒害，可随尿液排出体外，在人体内不会蓄积。但若长期过量食入苯甲酸超标的食品，可能会对肝脏功能产生一定影响。苯甲酸及其钠盐超标的原因可能是企业为增加产品保质期，或者弥补产品生产过程卫生条件不佳而超范围使用。</w:t>
      </w:r>
    </w:p>
    <w:p>
      <w:pPr>
        <w:pStyle w:val="3"/>
        <w:widowControl/>
        <w:numPr>
          <w:ilvl w:val="0"/>
          <w:numId w:val="1"/>
        </w:numPr>
        <w:wordWrap w:val="0"/>
        <w:adjustRightInd w:val="0"/>
        <w:snapToGrid w:val="0"/>
        <w:spacing w:before="0" w:beforeAutospacing="0" w:after="0" w:afterAutospacing="0" w:line="579" w:lineRule="exact"/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u w:val="none"/>
          <w:lang w:val="en-US" w:eastAsia="zh-CN"/>
        </w:rPr>
        <w:t>腐霉利</w:t>
      </w:r>
    </w:p>
    <w:p>
      <w:pPr>
        <w:numPr>
          <w:ilvl w:val="0"/>
          <w:numId w:val="0"/>
        </w:numPr>
        <w:spacing w:line="640" w:lineRule="exact"/>
        <w:ind w:firstLine="960" w:firstLineChars="3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腐霉利属低毒性杀菌剂， 兼具保护和治疗作用，可用于防治黄瓜、茄子、番茄、洋葱等的灰霉病，莴苣、辣椒的茎腐病，油菜菌核病等。国家规定韭菜中腐霉利的最大残留限量为0.2mg/kg。少量的农药残留不会导致急性中毒，长期食用农药残留超标的蔬菜，可能对人体健康产生不良影响。</w:t>
      </w:r>
    </w:p>
    <w:p>
      <w:pPr>
        <w:numPr>
          <w:numId w:val="0"/>
        </w:numPr>
        <w:spacing w:line="640" w:lineRule="exact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4081A"/>
    <w:multiLevelType w:val="singleLevel"/>
    <w:tmpl w:val="2194081A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8D4F12"/>
    <w:rsid w:val="13C107A1"/>
    <w:rsid w:val="13E7728B"/>
    <w:rsid w:val="15050DB1"/>
    <w:rsid w:val="1601476E"/>
    <w:rsid w:val="1B8F0A7A"/>
    <w:rsid w:val="23F32758"/>
    <w:rsid w:val="2AC52912"/>
    <w:rsid w:val="2D0D08A7"/>
    <w:rsid w:val="30507DA5"/>
    <w:rsid w:val="334F097B"/>
    <w:rsid w:val="358872FE"/>
    <w:rsid w:val="3642068F"/>
    <w:rsid w:val="3D61507C"/>
    <w:rsid w:val="446B5929"/>
    <w:rsid w:val="48E73FD9"/>
    <w:rsid w:val="620F63BD"/>
    <w:rsid w:val="62756C08"/>
    <w:rsid w:val="64F10F62"/>
    <w:rsid w:val="68A6464C"/>
    <w:rsid w:val="6BE5467C"/>
    <w:rsid w:val="76085E51"/>
    <w:rsid w:val="7BA473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Lines="0" w:beforeAutospacing="1" w:after="100" w:afterLines="0" w:afterAutospacing="1"/>
      <w:jc w:val="left"/>
    </w:pPr>
    <w:rPr>
      <w:color w:val="CC0000"/>
      <w:kern w:val="0"/>
      <w:sz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2019-09-04T11:53:33Z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