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pPr>
      <w:r>
        <w:rPr>
          <w:rFonts w:ascii="仿宋_GB2312" w:hAnsi="Calibri" w:eastAsia="仿宋_GB2312" w:cs="仿宋_GB2312"/>
          <w:i w:val="0"/>
          <w:iCs w:val="0"/>
          <w:caps w:val="0"/>
          <w:snapToGrid w:val="0"/>
          <w:color w:val="333333"/>
          <w:spacing w:val="0"/>
          <w:kern w:val="0"/>
          <w:sz w:val="32"/>
          <w:szCs w:val="32"/>
          <w:shd w:val="clear" w:fill="FFFFFF"/>
          <w:lang w:val="en-US" w:eastAsia="zh-CN" w:bidi="ar"/>
        </w:rPr>
        <w:t>赣市府办发〔</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2023</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赣州市人民政府办公室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i w:val="0"/>
          <w:iCs w:val="0"/>
          <w:caps w:val="0"/>
          <w:snapToGrid w:val="0"/>
          <w:color w:val="333333"/>
          <w:spacing w:val="11"/>
          <w:kern w:val="0"/>
          <w:sz w:val="44"/>
          <w:szCs w:val="44"/>
          <w:shd w:val="clear" w:fill="FFFFFF"/>
          <w:lang w:val="en-US" w:eastAsia="zh-CN" w:bidi="ar"/>
        </w:rPr>
        <w:t>印发关于推进私募股权投资基金业</w:t>
      </w:r>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高质量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发展若干措施的通知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各县</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市、区</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人民政府</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市政府各部门</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市属、驻市各单位</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经市政府同意</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现将《关于推进私募股权投资基金业高质量发展的若干措施》印发给你们</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请结合实际</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认真抓好贯彻落实。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5278" w:right="1154" w:hanging="4668"/>
        <w:jc w:val="right"/>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40"/>
          <w:kern w:val="0"/>
          <w:sz w:val="32"/>
          <w:szCs w:val="32"/>
          <w:shd w:val="clear" w:fill="FFFFFF"/>
          <w:lang w:val="en-US" w:eastAsia="zh-CN" w:bidi="ar"/>
        </w:rPr>
        <w:t>2023</w:t>
      </w:r>
      <w:r>
        <w:rPr>
          <w:rFonts w:hint="eastAsia" w:ascii="仿宋_GB2312" w:hAnsi="Calibri" w:eastAsia="仿宋_GB2312" w:cs="仿宋_GB2312"/>
          <w:i w:val="0"/>
          <w:iCs w:val="0"/>
          <w:caps w:val="0"/>
          <w:snapToGrid w:val="0"/>
          <w:color w:val="333333"/>
          <w:spacing w:val="40"/>
          <w:kern w:val="0"/>
          <w:sz w:val="32"/>
          <w:szCs w:val="32"/>
          <w:shd w:val="clear" w:fill="FFFFFF"/>
          <w:lang w:val="en-US" w:eastAsia="zh-CN" w:bidi="ar"/>
        </w:rPr>
        <w:t>年</w:t>
      </w:r>
      <w:r>
        <w:rPr>
          <w:rFonts w:hint="eastAsia" w:ascii="宋体" w:hAnsi="宋体" w:eastAsia="宋体" w:cs="宋体"/>
          <w:i w:val="0"/>
          <w:iCs w:val="0"/>
          <w:caps w:val="0"/>
          <w:snapToGrid w:val="0"/>
          <w:color w:val="333333"/>
          <w:spacing w:val="40"/>
          <w:kern w:val="0"/>
          <w:sz w:val="32"/>
          <w:szCs w:val="32"/>
          <w:shd w:val="clear" w:fill="FFFFFF"/>
          <w:lang w:val="en-US" w:eastAsia="zh-CN" w:bidi="ar"/>
        </w:rPr>
        <w:t>4</w:t>
      </w:r>
      <w:r>
        <w:rPr>
          <w:rFonts w:hint="eastAsia" w:ascii="仿宋_GB2312" w:hAnsi="Calibri" w:eastAsia="仿宋_GB2312" w:cs="仿宋_GB2312"/>
          <w:i w:val="0"/>
          <w:iCs w:val="0"/>
          <w:caps w:val="0"/>
          <w:snapToGrid w:val="0"/>
          <w:color w:val="333333"/>
          <w:spacing w:val="40"/>
          <w:kern w:val="0"/>
          <w:sz w:val="32"/>
          <w:szCs w:val="32"/>
          <w:shd w:val="clear" w:fill="FFFFFF"/>
          <w:lang w:val="en-US" w:eastAsia="zh-CN" w:bidi="ar"/>
        </w:rPr>
        <w:t>月</w:t>
      </w:r>
      <w:r>
        <w:rPr>
          <w:rFonts w:hint="eastAsia" w:ascii="宋体" w:hAnsi="宋体" w:eastAsia="宋体" w:cs="宋体"/>
          <w:i w:val="0"/>
          <w:iCs w:val="0"/>
          <w:caps w:val="0"/>
          <w:snapToGrid w:val="0"/>
          <w:color w:val="333333"/>
          <w:spacing w:val="40"/>
          <w:kern w:val="0"/>
          <w:sz w:val="32"/>
          <w:szCs w:val="32"/>
          <w:shd w:val="clear" w:fill="FFFFFF"/>
          <w:lang w:val="en-US" w:eastAsia="zh-CN" w:bidi="ar"/>
        </w:rPr>
        <w:t>17</w:t>
      </w:r>
      <w:r>
        <w:rPr>
          <w:rFonts w:hint="eastAsia" w:ascii="仿宋_GB2312" w:hAnsi="Calibri" w:eastAsia="仿宋_GB2312" w:cs="仿宋_GB2312"/>
          <w:i w:val="0"/>
          <w:iCs w:val="0"/>
          <w:caps w:val="0"/>
          <w:snapToGrid w:val="0"/>
          <w:color w:val="333333"/>
          <w:spacing w:val="40"/>
          <w:kern w:val="0"/>
          <w:sz w:val="32"/>
          <w:szCs w:val="32"/>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520" w:lineRule="atLeast"/>
        <w:ind w:left="0" w:right="0" w:firstLine="880"/>
        <w:jc w:val="both"/>
        <w:rPr>
          <w:rFonts w:ascii="Cambria" w:hAnsi="Cambria" w:eastAsia="Cambria" w:cs="Cambria"/>
          <w:i w:val="0"/>
          <w:iCs w:val="0"/>
          <w:caps w:val="0"/>
          <w:color w:val="333333"/>
          <w:spacing w:val="0"/>
          <w:sz w:val="24"/>
          <w:szCs w:val="24"/>
        </w:rPr>
      </w:pPr>
      <w:r>
        <w:rPr>
          <w:rFonts w:hint="eastAsia" w:ascii="仿宋_GB2312" w:hAnsi="Cambria" w:eastAsia="仿宋_GB2312" w:cs="仿宋_GB2312"/>
          <w:b w:val="0"/>
          <w:bCs w:val="0"/>
          <w:i w:val="0"/>
          <w:iCs w:val="0"/>
          <w:caps w:val="0"/>
          <w:color w:val="333333"/>
          <w:spacing w:val="0"/>
          <w:sz w:val="32"/>
          <w:szCs w:val="32"/>
          <w:shd w:val="clear" w:fill="FFFFFF"/>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方正小标宋_GBK" w:hAnsi="方正小标宋_GBK" w:eastAsia="方正小标宋_GBK" w:cs="方正小标宋_GBK"/>
          <w:i w:val="0"/>
          <w:iCs w:val="0"/>
          <w:caps w:val="0"/>
          <w:snapToGrid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方正小标宋_GBK" w:hAnsi="方正小标宋_GBK" w:eastAsia="方正小标宋_GBK" w:cs="方正小标宋_GBK"/>
          <w:i w:val="0"/>
          <w:iCs w:val="0"/>
          <w:caps w:val="0"/>
          <w:snapToGrid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方正小标宋_GBK" w:hAnsi="方正小标宋_GBK" w:eastAsia="方正小标宋_GBK" w:cs="方正小标宋_GBK"/>
          <w:i w:val="0"/>
          <w:iCs w:val="0"/>
          <w:caps w:val="0"/>
          <w:snapToGrid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方正小标宋_GBK" w:hAnsi="方正小标宋_GBK" w:eastAsia="方正小标宋_GBK" w:cs="方正小标宋_GBK"/>
          <w:i w:val="0"/>
          <w:iCs w:val="0"/>
          <w:caps w:val="0"/>
          <w:snapToGrid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default" w:ascii="方正小标宋_GBK" w:hAnsi="方正小标宋_GBK" w:eastAsia="方正小标宋_GBK" w:cs="方正小标宋_GBK"/>
          <w:i w:val="0"/>
          <w:iCs w:val="0"/>
          <w:caps w:val="0"/>
          <w:snapToGrid w:val="0"/>
          <w:color w:val="333333"/>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关于推进私募股权投资基金业高质</w:t>
      </w:r>
      <w:bookmarkStart w:id="0" w:name="_GoBack"/>
      <w:bookmarkEnd w:id="0"/>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方正小标宋简体" w:hAnsi="方正小标宋简体" w:eastAsia="方正小标宋简体" w:cs="方正小标宋简体"/>
          <w:i w:val="0"/>
          <w:iCs w:val="0"/>
          <w:caps w:val="0"/>
          <w:color w:val="333333"/>
          <w:spacing w:val="0"/>
          <w:sz w:val="21"/>
          <w:szCs w:val="21"/>
        </w:rPr>
      </w:pPr>
      <w:r>
        <w:rPr>
          <w:rFonts w:hint="eastAsia" w:ascii="方正小标宋简体" w:hAnsi="方正小标宋简体" w:eastAsia="方正小标宋简体" w:cs="方正小标宋简体"/>
          <w:i w:val="0"/>
          <w:iCs w:val="0"/>
          <w:caps w:val="0"/>
          <w:snapToGrid w:val="0"/>
          <w:color w:val="333333"/>
          <w:spacing w:val="0"/>
          <w:kern w:val="0"/>
          <w:sz w:val="44"/>
          <w:szCs w:val="44"/>
          <w:shd w:val="clear" w:fill="FFFFFF"/>
          <w:lang w:val="en-US" w:eastAsia="zh-CN" w:bidi="ar"/>
        </w:rPr>
        <w:t>发展的若干措施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snapToGrid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为加快推动我市基金行业发展，充分发挥私募股权投资基金在推动科技创新和实体经济转型升级中的重要作用，实现基金招商提质增效，促进赣州经济高质量发展，结合本市实际，特制定如下措施。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ascii="黑体" w:hAnsi="宋体" w:eastAsia="黑体" w:cs="黑体"/>
          <w:i w:val="0"/>
          <w:iCs w:val="0"/>
          <w:caps w:val="0"/>
          <w:snapToGrid w:val="0"/>
          <w:color w:val="333333"/>
          <w:spacing w:val="0"/>
          <w:kern w:val="0"/>
          <w:sz w:val="32"/>
          <w:szCs w:val="32"/>
          <w:shd w:val="clear" w:fill="FFFFFF"/>
          <w:lang w:val="en-US" w:eastAsia="zh-CN" w:bidi="ar"/>
        </w:rPr>
        <w:t>一、政府投资引导基金助力产业发展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ascii="楷体_GB2312" w:hAnsi="Calibri" w:eastAsia="楷体_GB2312" w:cs="楷体_GB2312"/>
          <w:i w:val="0"/>
          <w:iCs w:val="0"/>
          <w:caps w:val="0"/>
          <w:snapToGrid w:val="0"/>
          <w:color w:val="333333"/>
          <w:spacing w:val="0"/>
          <w:kern w:val="0"/>
          <w:sz w:val="32"/>
          <w:szCs w:val="32"/>
          <w:shd w:val="clear" w:fill="FFFFFF"/>
          <w:lang w:val="en-US" w:eastAsia="zh-CN" w:bidi="ar"/>
        </w:rPr>
        <w:t>（一）支持基金服务重点产业。</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围绕我市“</w:t>
      </w:r>
      <w:r>
        <w:rPr>
          <w:rFonts w:hint="eastAsia" w:ascii="宋体" w:hAnsi="宋体" w:eastAsia="宋体" w:cs="宋体"/>
          <w:i w:val="0"/>
          <w:iCs w:val="0"/>
          <w:caps w:val="0"/>
          <w:snapToGrid w:val="0"/>
          <w:color w:val="333333"/>
          <w:spacing w:val="0"/>
          <w:kern w:val="0"/>
          <w:sz w:val="32"/>
          <w:szCs w:val="32"/>
          <w:shd w:val="clear" w:fill="FFFFFF"/>
          <w:lang w:val="en-US" w:eastAsia="zh-CN" w:bidi="ar"/>
        </w:rPr>
        <w:t>1+5+N</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重点产业，鼓励与私募股权投资基金管理机构合作设立专项基金，“以投带招”引进项目落地。支持政府产业引导基金设立子基金，围绕我市主导产业布局进行投资，促进优势产业聚集。支持明确可从事基金投资业务的市属国有企业围绕其功能定位和主责主业发起设立并购基金，开展产业链上下游并购重组，做强做优产业链规模和生态圈。</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各县（市、区）人民政府（以下各地均为责任单位，不再重复列出），市政府金融办、市财政局、市发展改革委、市工信局、市科技局、市商务局、市国资委、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（二）推动建立“链主</w:t>
      </w:r>
      <w:r>
        <w:rPr>
          <w:rFonts w:hint="eastAsia" w:ascii="宋体" w:hAnsi="宋体" w:eastAsia="宋体" w:cs="宋体"/>
          <w:i w:val="0"/>
          <w:iCs w:val="0"/>
          <w:caps w:val="0"/>
          <w:snapToGrid w:val="0"/>
          <w:color w:val="333333"/>
          <w:spacing w:val="0"/>
          <w:kern w:val="0"/>
          <w:sz w:val="32"/>
          <w:szCs w:val="32"/>
          <w:shd w:val="clear" w:fill="FFFFFF"/>
          <w:lang w:val="en-US" w:eastAsia="zh-CN" w:bidi="ar"/>
        </w:rPr>
        <w:t>+</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基金”招商模式。</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鼓励市、县政府产业引导基金与上市公司、产业链龙头企业合作设立基金，开展投行化、专业化招商，结合链主企业资金、信息和销售链优势及基金管理机构资本运营能力，引进补链强链延链的实体项目。</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〔责任单位：市商务局、市财政局、市国资委、市政府金融办、赣州发投集团、赣州国投集团、赣州旅投集团〕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（三）政府投资引导基金让利支持。</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完善和优化政府投资引导基金绩效考核体系，市级政府投资引导基金参股基金返投赣州比例达到</w:t>
      </w:r>
      <w:r>
        <w:rPr>
          <w:rFonts w:hint="eastAsia" w:ascii="宋体" w:hAnsi="宋体" w:eastAsia="宋体" w:cs="宋体"/>
          <w:i w:val="0"/>
          <w:iCs w:val="0"/>
          <w:caps w:val="0"/>
          <w:snapToGrid w:val="0"/>
          <w:color w:val="333333"/>
          <w:spacing w:val="0"/>
          <w:kern w:val="0"/>
          <w:sz w:val="32"/>
          <w:szCs w:val="32"/>
          <w:shd w:val="clear" w:fill="FFFFFF"/>
          <w:lang w:val="en-US" w:eastAsia="zh-CN" w:bidi="ar"/>
        </w:rPr>
        <w:t>2</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倍、</w:t>
      </w:r>
      <w:r>
        <w:rPr>
          <w:rFonts w:hint="eastAsia" w:ascii="宋体" w:hAnsi="宋体" w:eastAsia="宋体" w:cs="宋体"/>
          <w:i w:val="0"/>
          <w:iCs w:val="0"/>
          <w:caps w:val="0"/>
          <w:snapToGrid w:val="0"/>
          <w:color w:val="333333"/>
          <w:spacing w:val="0"/>
          <w:kern w:val="0"/>
          <w:sz w:val="32"/>
          <w:szCs w:val="32"/>
          <w:shd w:val="clear" w:fill="FFFFFF"/>
          <w:lang w:val="en-US" w:eastAsia="zh-CN" w:bidi="ar"/>
        </w:rPr>
        <w:t>2.5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倍和</w:t>
      </w:r>
      <w:r>
        <w:rPr>
          <w:rFonts w:hint="eastAsia" w:ascii="宋体" w:hAnsi="宋体" w:eastAsia="宋体" w:cs="宋体"/>
          <w:i w:val="0"/>
          <w:iCs w:val="0"/>
          <w:caps w:val="0"/>
          <w:snapToGrid w:val="0"/>
          <w:color w:val="333333"/>
          <w:spacing w:val="0"/>
          <w:kern w:val="0"/>
          <w:sz w:val="32"/>
          <w:szCs w:val="32"/>
          <w:shd w:val="clear" w:fill="FFFFFF"/>
          <w:lang w:val="en-US" w:eastAsia="zh-CN" w:bidi="ar"/>
        </w:rPr>
        <w:t>3</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倍以上的（以赣州市、县两级财政及国有控股企业出资合计数为基数计算），市级政府产业引导基金中财政出资部分可获得超额收益的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w:t>
      </w:r>
      <w:r>
        <w:rPr>
          <w:rFonts w:hint="eastAsia" w:ascii="宋体" w:hAnsi="宋体" w:eastAsia="宋体" w:cs="宋体"/>
          <w:i w:val="0"/>
          <w:iCs w:val="0"/>
          <w:caps w:val="0"/>
          <w:snapToGrid w:val="0"/>
          <w:color w:val="333333"/>
          <w:spacing w:val="0"/>
          <w:kern w:val="0"/>
          <w:sz w:val="32"/>
          <w:szCs w:val="32"/>
          <w:shd w:val="clear" w:fill="FFFFFF"/>
          <w:lang w:val="en-US" w:eastAsia="zh-CN" w:bidi="ar"/>
        </w:rPr>
        <w:t>40%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w:t>
      </w:r>
      <w:r>
        <w:rPr>
          <w:rFonts w:hint="eastAsia" w:ascii="宋体" w:hAnsi="宋体" w:eastAsia="宋体" w:cs="宋体"/>
          <w:i w:val="0"/>
          <w:iCs w:val="0"/>
          <w:caps w:val="0"/>
          <w:snapToGrid w:val="0"/>
          <w:color w:val="333333"/>
          <w:spacing w:val="0"/>
          <w:kern w:val="0"/>
          <w:sz w:val="32"/>
          <w:szCs w:val="32"/>
          <w:shd w:val="clear" w:fill="FFFFFF"/>
          <w:lang w:val="en-US" w:eastAsia="zh-CN" w:bidi="ar"/>
        </w:rPr>
        <w:t>60%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部分让渡给基金管理机构或社会资本。返投让利条款应在政府产业引导基金与其基金管理机构协议进行约定，返投让利在私募基金清算时经第三方中介机构确认后按程序兑付。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以下情况视为投资在赣州市内：</w:t>
      </w:r>
      <w:r>
        <w:rPr>
          <w:rFonts w:hint="eastAsia" w:ascii="宋体" w:hAnsi="宋体" w:eastAsia="宋体" w:cs="宋体"/>
          <w:i w:val="0"/>
          <w:iCs w:val="0"/>
          <w:caps w:val="0"/>
          <w:snapToGrid w:val="0"/>
          <w:color w:val="333333"/>
          <w:spacing w:val="0"/>
          <w:kern w:val="0"/>
          <w:sz w:val="32"/>
          <w:szCs w:val="32"/>
          <w:shd w:val="clear" w:fill="FFFFFF"/>
          <w:lang w:val="en-US" w:eastAsia="zh-CN" w:bidi="ar"/>
        </w:rPr>
        <w:t>1.</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投资注册登记在赣州市的企业；</w:t>
      </w:r>
      <w:r>
        <w:rPr>
          <w:rFonts w:hint="eastAsia" w:ascii="宋体" w:hAnsi="宋体" w:eastAsia="宋体" w:cs="宋体"/>
          <w:i w:val="0"/>
          <w:iCs w:val="0"/>
          <w:caps w:val="0"/>
          <w:snapToGrid w:val="0"/>
          <w:color w:val="333333"/>
          <w:spacing w:val="0"/>
          <w:kern w:val="0"/>
          <w:sz w:val="32"/>
          <w:szCs w:val="32"/>
          <w:shd w:val="clear" w:fill="FFFFFF"/>
          <w:lang w:val="en-US" w:eastAsia="zh-CN" w:bidi="ar"/>
        </w:rPr>
        <w:t>2.</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投资的市外企业以股权投资方式投资赣州市已有企业；</w:t>
      </w:r>
      <w:r>
        <w:rPr>
          <w:rFonts w:hint="eastAsia" w:ascii="宋体" w:hAnsi="宋体" w:eastAsia="宋体" w:cs="宋体"/>
          <w:i w:val="0"/>
          <w:iCs w:val="0"/>
          <w:caps w:val="0"/>
          <w:snapToGrid w:val="0"/>
          <w:color w:val="333333"/>
          <w:spacing w:val="0"/>
          <w:kern w:val="0"/>
          <w:sz w:val="32"/>
          <w:szCs w:val="32"/>
          <w:shd w:val="clear" w:fill="FFFFFF"/>
          <w:lang w:val="en-US" w:eastAsia="zh-CN" w:bidi="ar"/>
        </w:rPr>
        <w:t>3.</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投资的市外企业在市内投资设立主要负责生产研发的子公司；</w:t>
      </w:r>
      <w:r>
        <w:rPr>
          <w:rFonts w:hint="eastAsia" w:ascii="宋体" w:hAnsi="宋体" w:eastAsia="宋体" w:cs="宋体"/>
          <w:i w:val="0"/>
          <w:iCs w:val="0"/>
          <w:caps w:val="0"/>
          <w:snapToGrid w:val="0"/>
          <w:color w:val="333333"/>
          <w:spacing w:val="0"/>
          <w:kern w:val="0"/>
          <w:sz w:val="32"/>
          <w:szCs w:val="32"/>
          <w:shd w:val="clear" w:fill="FFFFFF"/>
          <w:lang w:val="en-US" w:eastAsia="zh-CN" w:bidi="ar"/>
        </w:rPr>
        <w:t>4.</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投资市外企业迁址落户我市的；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其它经领导小组认定视为投资在赣州市内的情形。</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〔责任单位：市财政局、市政府金融办、赣州发投集团、赣州国投集团、赣州旅投集团〕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snapToGrid w:val="0"/>
          <w:color w:val="333333"/>
          <w:spacing w:val="0"/>
          <w:kern w:val="0"/>
          <w:sz w:val="32"/>
          <w:szCs w:val="32"/>
          <w:shd w:val="clear" w:fill="FFFFFF"/>
          <w:lang w:val="en-US" w:eastAsia="zh-CN" w:bidi="ar"/>
        </w:rPr>
        <w:t>二、鼓励各类基金在赣州发展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（四）鼓励各类股权投资机构落户。</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各私募股权投资基金或私募股权投资基金管理机构新落户赣州的，由受益财政按其落户当年度对地方财政贡献的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30%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予以奖励。私募股权投资基金首期实缴，并按约定投资赣州本土企业或投外引内的，按其投资资金的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0.2%</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给予奖励，两项奖励合计不超过</w:t>
      </w:r>
      <w:r>
        <w:rPr>
          <w:rFonts w:hint="eastAsia" w:ascii="宋体" w:hAnsi="宋体" w:eastAsia="宋体" w:cs="宋体"/>
          <w:i w:val="0"/>
          <w:iCs w:val="0"/>
          <w:caps w:val="0"/>
          <w:snapToGrid w:val="0"/>
          <w:color w:val="333333"/>
          <w:spacing w:val="0"/>
          <w:kern w:val="0"/>
          <w:sz w:val="32"/>
          <w:szCs w:val="32"/>
          <w:shd w:val="clear" w:fill="FFFFFF"/>
          <w:lang w:val="en-US" w:eastAsia="zh-CN" w:bidi="ar"/>
        </w:rPr>
        <w:t>1000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万元。支持在我市注册并在基金业登记备案的基金管理机构，按市场化原则和依法依规申请成为政府产业基金管理人。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申请落户奖励的私募股权投资基金或私募股权投资基金管理机构要在赣州注册并缴纳税收。自享受落户奖励的当年度起基金续存期内不得减少或抽逃资本金，不得减少募集资金。</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〔责任单位：市财政局、市政府金融办〕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（五）鼓励加大在赣投资力度。</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私募股权投资基金投资赣州辖区内企业和项目，以及所投资市外企业迁址我市或所投资市外企业在我市新设子公司的，由受益财政在基金退出后按该基金对地方财政贡献的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90%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予以奖励。</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〔责任单位：市财政局、市政府金融办、国家税务总局赣州市税务局〕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（六）引导股权投资投早投小投科技。</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对私募股权投资基金管理机构所管理基金投资我市种子期、初创期企业</w:t>
      </w:r>
      <w:r>
        <w:rPr>
          <w:rFonts w:hint="eastAsia" w:ascii="宋体" w:hAnsi="宋体" w:eastAsia="宋体" w:cs="宋体"/>
          <w:i w:val="0"/>
          <w:iCs w:val="0"/>
          <w:caps w:val="0"/>
          <w:snapToGrid w:val="0"/>
          <w:color w:val="333333"/>
          <w:spacing w:val="0"/>
          <w:kern w:val="0"/>
          <w:sz w:val="32"/>
          <w:szCs w:val="32"/>
          <w:shd w:val="clear" w:fill="FFFFFF"/>
          <w:lang w:val="en-US" w:eastAsia="zh-CN" w:bidi="ar"/>
        </w:rPr>
        <w:t>2</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年以上的，由受益财政按照实际投资额的</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给予奖励，每投资</w:t>
      </w:r>
      <w:r>
        <w:rPr>
          <w:rFonts w:hint="eastAsia" w:ascii="宋体" w:hAnsi="宋体" w:eastAsia="宋体" w:cs="宋体"/>
          <w:i w:val="0"/>
          <w:iCs w:val="0"/>
          <w:caps w:val="0"/>
          <w:snapToGrid w:val="0"/>
          <w:color w:val="333333"/>
          <w:spacing w:val="0"/>
          <w:kern w:val="0"/>
          <w:sz w:val="32"/>
          <w:szCs w:val="32"/>
          <w:shd w:val="clear" w:fill="FFFFFF"/>
          <w:lang w:val="en-US" w:eastAsia="zh-CN" w:bidi="ar"/>
        </w:rPr>
        <w:t>1</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家企业最高奖励人民币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100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万元，每家私募股权投资基金管理机构每年累计申请本项奖励不超过人民币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300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万元。种子期、初创期企业须满足基金投资时设立时间不超过</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年，从业人数不超过</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人，资产总额或年销售收入不超过人民币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万元。该奖励与本措施第三条、第四条奖励不能同时享受。</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〔责任单位：市财政局、市科技局、市发展改革委、市政府金融办〕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（七）优化基金产业发展空间布局。</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支持有条件的县（市、区）设立基金产业集聚区，提供注册地址、免费办公场所。鼓励私募股权投资基金或私募股权投资基金管理机构置办自用办公用房并出台奖补政策。支持赣州苏区振兴并购基金园、赣州数字金融产业园、和君基金村等基金特色园区合规发展。鼓励南康做优做强金融外包服务机构，服务私募基金行业发展。探索成立基金联盟或设立基金行业公会等组织，搭建基金管理机构交流互动平台。</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〔责任单位：市政府金融办、市行政审批局〕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（八）加大对行业人才扶持奖励。</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对引荐赣州市外投资者来赣州投资并最终促成项目落户的基金管理团队，按我市招商政策有关规定给予奖励。支持招商贡献突出的基金管理团队（需在本市私募股权投资基金管理机构任职）参评金融人才，在评审中根据对赣州贡献情况适当予以加分，对经认定的金融人才按照规定给予奖励。相关高级管理人员，经认定符合条件的，可享受相关人才奖扶政策。</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〔责任单位：市委人才办、市政府金融办、市商务局、市财政局〕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（九）落实优化行业税收政策。</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对在我市设立的私募股权投资基金或私募股权投资基金管理机构符合西部大开发税收优惠条件的，根据《关于延续西部大开发企业所得税政策的公告》，按照</w:t>
      </w:r>
      <w:r>
        <w:rPr>
          <w:rFonts w:hint="eastAsia" w:ascii="宋体" w:hAnsi="宋体" w:eastAsia="宋体" w:cs="宋体"/>
          <w:i w:val="0"/>
          <w:iCs w:val="0"/>
          <w:caps w:val="0"/>
          <w:snapToGrid w:val="0"/>
          <w:color w:val="333333"/>
          <w:spacing w:val="0"/>
          <w:kern w:val="0"/>
          <w:sz w:val="32"/>
          <w:szCs w:val="32"/>
          <w:shd w:val="clear" w:fill="FFFFFF"/>
          <w:lang w:val="en-US" w:eastAsia="zh-CN" w:bidi="ar"/>
        </w:rPr>
        <w:t>15%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的税率征收企业所得税。</w:t>
      </w: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〔责任单位：国家税务总局赣州市税务局、市财政局〕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snapToGrid w:val="0"/>
          <w:color w:val="333333"/>
          <w:spacing w:val="0"/>
          <w:kern w:val="0"/>
          <w:sz w:val="32"/>
          <w:szCs w:val="32"/>
          <w:shd w:val="clear" w:fill="FFFFFF"/>
          <w:lang w:val="en-US" w:eastAsia="zh-CN" w:bidi="ar"/>
        </w:rPr>
        <w:t>三、完善和营造良好营商环境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（十）强化组织保障。</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市政府成立基金业发展工作领导小组，市政府常务副市长任组长，分管副市长任副组长，市政府对口副秘书长，发改、公安、财政、商务、国资、金融、行政审批、市场监管、</w:t>
      </w:r>
      <w:r>
        <w:rPr>
          <w:rFonts w:hint="default" w:ascii="Calibri" w:hAnsi="Calibri" w:cs="Calibri" w:eastAsiaTheme="minorEastAsia"/>
          <w:i w:val="0"/>
          <w:iCs w:val="0"/>
          <w:caps w:val="0"/>
          <w:snapToGrid w:val="0"/>
          <w:color w:val="333333"/>
          <w:spacing w:val="0"/>
          <w:kern w:val="0"/>
          <w:sz w:val="21"/>
          <w:szCs w:val="21"/>
          <w:u w:val="none"/>
          <w:shd w:val="clear" w:fill="FFFFFF"/>
          <w:lang w:val="en-US" w:eastAsia="zh-CN" w:bidi="ar"/>
        </w:rPr>
        <w:fldChar w:fldCharType="begin"/>
      </w:r>
      <w:r>
        <w:rPr>
          <w:rFonts w:hint="default" w:ascii="Calibri" w:hAnsi="Calibri" w:cs="Calibri" w:eastAsiaTheme="minorEastAsia"/>
          <w:i w:val="0"/>
          <w:iCs w:val="0"/>
          <w:caps w:val="0"/>
          <w:snapToGrid w:val="0"/>
          <w:color w:val="333333"/>
          <w:spacing w:val="0"/>
          <w:kern w:val="0"/>
          <w:sz w:val="21"/>
          <w:szCs w:val="21"/>
          <w:u w:val="none"/>
          <w:shd w:val="clear" w:fill="FFFFFF"/>
          <w:lang w:val="en-US" w:eastAsia="zh-CN" w:bidi="ar"/>
        </w:rPr>
        <w:instrText xml:space="preserve"> HYPERLINK "https://www.ganzhou.gov.cn/zfxxgk/sczgljg/201807/a3635599d4794790a15124fe9f53f5f1.shtml" \o "国家税务总局赣州市税务局" </w:instrText>
      </w:r>
      <w:r>
        <w:rPr>
          <w:rFonts w:hint="default" w:ascii="Calibri" w:hAnsi="Calibri" w:cs="Calibri" w:eastAsiaTheme="minorEastAsia"/>
          <w:i w:val="0"/>
          <w:iCs w:val="0"/>
          <w:caps w:val="0"/>
          <w:snapToGrid w:val="0"/>
          <w:color w:val="333333"/>
          <w:spacing w:val="0"/>
          <w:kern w:val="0"/>
          <w:sz w:val="21"/>
          <w:szCs w:val="21"/>
          <w:u w:val="none"/>
          <w:shd w:val="clear" w:fill="FFFFFF"/>
          <w:lang w:val="en-US" w:eastAsia="zh-CN" w:bidi="ar"/>
        </w:rPr>
        <w:fldChar w:fldCharType="separate"/>
      </w:r>
      <w:r>
        <w:rPr>
          <w:rStyle w:val="8"/>
          <w:rFonts w:hint="eastAsia" w:ascii="仿宋_GB2312" w:hAnsi="Calibri" w:eastAsia="仿宋_GB2312" w:cs="仿宋_GB2312"/>
          <w:i w:val="0"/>
          <w:iCs w:val="0"/>
          <w:caps w:val="0"/>
          <w:color w:val="333333"/>
          <w:spacing w:val="0"/>
          <w:sz w:val="32"/>
          <w:szCs w:val="32"/>
          <w:u w:val="none"/>
          <w:shd w:val="clear" w:fill="FFFFFF"/>
        </w:rPr>
        <w:t>税务</w:t>
      </w:r>
      <w:r>
        <w:rPr>
          <w:rFonts w:hint="default" w:ascii="Calibri" w:hAnsi="Calibri" w:cs="Calibri" w:eastAsiaTheme="minorEastAsia"/>
          <w:i w:val="0"/>
          <w:iCs w:val="0"/>
          <w:caps w:val="0"/>
          <w:snapToGrid w:val="0"/>
          <w:color w:val="333333"/>
          <w:spacing w:val="0"/>
          <w:kern w:val="0"/>
          <w:sz w:val="21"/>
          <w:szCs w:val="21"/>
          <w:u w:val="none"/>
          <w:shd w:val="clear" w:fill="FFFFFF"/>
          <w:lang w:val="en-US" w:eastAsia="zh-CN" w:bidi="ar"/>
        </w:rPr>
        <w:fldChar w:fldCharType="end"/>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人行赣州市中支，相关市属国企等部门为成员。领导小组办公室设在市政府金融办，承担市基金业发展工作领导小组的日常工作，统筹做好基金行业发展工作，建立跨部门协同机制，负责牵头本措施各项政策的落地执行，为基金业发展营造良好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（十一）建立信息统计制度。</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每季度首月</w:t>
      </w:r>
      <w:r>
        <w:rPr>
          <w:rFonts w:hint="eastAsia" w:ascii="宋体" w:hAnsi="宋体" w:eastAsia="宋体" w:cs="宋体"/>
          <w:i w:val="0"/>
          <w:iCs w:val="0"/>
          <w:caps w:val="0"/>
          <w:snapToGrid w:val="0"/>
          <w:color w:val="333333"/>
          <w:spacing w:val="0"/>
          <w:kern w:val="0"/>
          <w:sz w:val="32"/>
          <w:szCs w:val="32"/>
          <w:shd w:val="clear" w:fill="FFFFFF"/>
          <w:lang w:val="en-US" w:eastAsia="zh-CN" w:bidi="ar"/>
        </w:rPr>
        <w:t>30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日前各县（市、区）政府向领导小组办公室报送本辖区私募股权投资基金或私募股权投资基金管理机构设立经营等情况。市行政审批部门将内资企业、</w:t>
      </w:r>
      <w:r>
        <w:rPr>
          <w:rFonts w:hint="eastAsia" w:ascii="仿宋_GB2312" w:hAnsi="Calibri" w:eastAsia="仿宋_GB2312" w:cs="仿宋_GB2312"/>
          <w:i w:val="0"/>
          <w:iCs w:val="0"/>
          <w:caps w:val="0"/>
          <w:snapToGrid w:val="0"/>
          <w:color w:val="333333"/>
          <w:spacing w:val="-6"/>
          <w:kern w:val="0"/>
          <w:sz w:val="32"/>
          <w:szCs w:val="32"/>
          <w:shd w:val="clear" w:fill="FFFFFF"/>
          <w:lang w:val="en-US" w:eastAsia="zh-CN" w:bidi="ar"/>
        </w:rPr>
        <w:t>市场监管部门将外商投资企业的私募股权投资基金或私募股权投资基金管理机构相关登记注册等情况报送至领导小组办公室。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（十二）给予商事登记便利。</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在市、县行政服务大厅开辟专门窗口，简化业务流程，为私募股权投资基金及其管理机构登记注册、变更、刻印公章等提供“一站式、一条龙”服务。在资料齐全的情况下，相关登记注册、变更工作原则上要在</w:t>
      </w:r>
      <w:r>
        <w:rPr>
          <w:rFonts w:hint="eastAsia" w:ascii="宋体" w:hAnsi="宋体" w:eastAsia="宋体" w:cs="宋体"/>
          <w:i w:val="0"/>
          <w:iCs w:val="0"/>
          <w:caps w:val="0"/>
          <w:snapToGrid w:val="0"/>
          <w:color w:val="333333"/>
          <w:spacing w:val="0"/>
          <w:kern w:val="0"/>
          <w:sz w:val="32"/>
          <w:szCs w:val="32"/>
          <w:shd w:val="clear" w:fill="FFFFFF"/>
          <w:lang w:val="en-US" w:eastAsia="zh-CN" w:bidi="ar"/>
        </w:rPr>
        <w:t>2</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个工作日内完成，形成有利于私募股权投资基金或私募股权投资基金管理机构集聚和健康有序发展的市场环境。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snapToGrid w:val="0"/>
          <w:color w:val="333333"/>
          <w:spacing w:val="0"/>
          <w:kern w:val="0"/>
          <w:sz w:val="32"/>
          <w:szCs w:val="32"/>
          <w:shd w:val="clear" w:fill="FFFFFF"/>
          <w:lang w:val="en-US" w:eastAsia="zh-CN" w:bidi="ar"/>
        </w:rPr>
        <w:t>四、其他说明事项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（十三）适用对象。</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本措施适用对象为私募股权投资基金和私募股权投资基金管理机构，市、县政府（含国企）撬动社会资本设立的基金及其管理机构同样适用本措施。申请相关奖励的私募股权投资基金或私募股权投资基金管理机构应满足以下条件：需在中国证券投资基金业协会备案；天使和创业股权投资基金的注册资本（出资金额）不低于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万元，实缴资金不低于</w:t>
      </w:r>
      <w:r>
        <w:rPr>
          <w:rFonts w:hint="eastAsia" w:ascii="宋体" w:hAnsi="宋体" w:eastAsia="宋体" w:cs="宋体"/>
          <w:i w:val="0"/>
          <w:iCs w:val="0"/>
          <w:caps w:val="0"/>
          <w:snapToGrid w:val="0"/>
          <w:color w:val="333333"/>
          <w:spacing w:val="0"/>
          <w:kern w:val="0"/>
          <w:sz w:val="32"/>
          <w:szCs w:val="32"/>
          <w:shd w:val="clear" w:fill="FFFFFF"/>
          <w:lang w:val="en-US" w:eastAsia="zh-CN" w:bidi="ar"/>
        </w:rPr>
        <w:t>1000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万元；其他私募股权投资基金的注册资本（出资金额）不低于人民币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5000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万元，实缴资金不低于</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万元；私募股权投资基金管理机构，实缴资本应不低于人民币</w:t>
      </w:r>
      <w:r>
        <w:rPr>
          <w:rFonts w:hint="eastAsia" w:ascii="宋体" w:hAnsi="宋体" w:eastAsia="宋体" w:cs="宋体"/>
          <w:i w:val="0"/>
          <w:iCs w:val="0"/>
          <w:caps w:val="0"/>
          <w:snapToGrid w:val="0"/>
          <w:color w:val="333333"/>
          <w:spacing w:val="0"/>
          <w:kern w:val="0"/>
          <w:sz w:val="32"/>
          <w:szCs w:val="32"/>
          <w:shd w:val="clear" w:fill="FFFFFF"/>
          <w:lang w:val="en-US" w:eastAsia="zh-CN" w:bidi="ar"/>
        </w:rPr>
        <w:t>1000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万元。本措施所称高级管理人员，指在私募股权投资基金管理机构担任董事长（未设立董事会企业的执行董事）、副董事长、总经理、副总经理、财务总监、投资总监、风险总监、执行事务合伙人及同等职务人员，高级管理人员需按照规定进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（十四）享受奖励要求。</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本措施所示的各类扶持奖励政策，同一项目最高奖励比例不超过对地方的财政贡献。享受扶持奖励政策的私募股权投资基金或私募股权投资基金管理机构</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年内不得迁离本市。享受扶持奖励政策的企业和个人不履行承诺的义务或采取弄虚作假等手段骗取优惠政策的，将勒令整改并收回已享受的奖励或补贴。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i w:val="0"/>
          <w:iCs w:val="0"/>
          <w:caps w:val="0"/>
          <w:snapToGrid w:val="0"/>
          <w:color w:val="333333"/>
          <w:spacing w:val="0"/>
          <w:kern w:val="0"/>
          <w:sz w:val="32"/>
          <w:szCs w:val="32"/>
          <w:shd w:val="clear" w:fill="FFFFFF"/>
          <w:lang w:val="en-US" w:eastAsia="zh-CN" w:bidi="ar"/>
        </w:rPr>
        <w:t>（十五）申请流程。</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私募股权投资基金或私募股权投资基金管理机构申请市级财政奖励的，应分别于每年</w:t>
      </w:r>
      <w:r>
        <w:rPr>
          <w:rFonts w:hint="eastAsia" w:ascii="宋体" w:hAnsi="宋体" w:eastAsia="宋体" w:cs="宋体"/>
          <w:i w:val="0"/>
          <w:iCs w:val="0"/>
          <w:caps w:val="0"/>
          <w:snapToGrid w:val="0"/>
          <w:color w:val="333333"/>
          <w:spacing w:val="0"/>
          <w:kern w:val="0"/>
          <w:sz w:val="32"/>
          <w:szCs w:val="32"/>
          <w:shd w:val="clear" w:fill="FFFFFF"/>
          <w:lang w:val="en-US" w:eastAsia="zh-CN" w:bidi="ar"/>
        </w:rPr>
        <w:t>4</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月和</w:t>
      </w:r>
      <w:r>
        <w:rPr>
          <w:rFonts w:hint="eastAsia" w:ascii="宋体" w:hAnsi="宋体" w:eastAsia="宋体" w:cs="宋体"/>
          <w:i w:val="0"/>
          <w:iCs w:val="0"/>
          <w:caps w:val="0"/>
          <w:snapToGrid w:val="0"/>
          <w:color w:val="333333"/>
          <w:spacing w:val="0"/>
          <w:kern w:val="0"/>
          <w:sz w:val="32"/>
          <w:szCs w:val="32"/>
          <w:shd w:val="clear" w:fill="FFFFFF"/>
          <w:lang w:val="en-US" w:eastAsia="zh-CN" w:bidi="ar"/>
        </w:rPr>
        <w:t>10</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月底前向各县（市、区）金融服务中心和财政局进行申报，各县（市、区）金融服务中心和财政局按有关程序审核后共同向市政府金融办申报，市政府金融办初审后提交市财政局复核，复核通过后按照规定拨付奖励资金。私募股权投资基金或私募股权投资基金管理机构申请县（市、区）级财政奖励且符合奖励条件的，各县（市、区）政府要在</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个工作日内兑现奖励。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（十六）各县（市、区）、各相关单位可根据本若干措施精神，按照事权原则制定具体实施细则。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8"/>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（十七）本措施自</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2023</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年</w:t>
      </w:r>
      <w:r>
        <w:rPr>
          <w:rFonts w:hint="eastAsia" w:ascii="宋体" w:hAnsi="宋体" w:eastAsia="宋体" w:cs="宋体"/>
          <w:i w:val="0"/>
          <w:iCs w:val="0"/>
          <w:caps w:val="0"/>
          <w:snapToGrid w:val="0"/>
          <w:color w:val="333333"/>
          <w:spacing w:val="0"/>
          <w:kern w:val="0"/>
          <w:sz w:val="32"/>
          <w:szCs w:val="32"/>
          <w:shd w:val="clear" w:fill="FFFFFF"/>
          <w:lang w:val="en-US" w:eastAsia="zh-CN" w:bidi="ar"/>
        </w:rPr>
        <w:t>6</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月</w:t>
      </w:r>
      <w:r>
        <w:rPr>
          <w:rFonts w:hint="eastAsia" w:ascii="宋体" w:hAnsi="宋体" w:eastAsia="宋体" w:cs="宋体"/>
          <w:i w:val="0"/>
          <w:iCs w:val="0"/>
          <w:caps w:val="0"/>
          <w:snapToGrid w:val="0"/>
          <w:color w:val="333333"/>
          <w:spacing w:val="0"/>
          <w:kern w:val="0"/>
          <w:sz w:val="32"/>
          <w:szCs w:val="32"/>
          <w:shd w:val="clear" w:fill="FFFFFF"/>
          <w:lang w:val="en-US" w:eastAsia="zh-CN" w:bidi="ar"/>
        </w:rPr>
        <w:t>1</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日起施行，有效期</w:t>
      </w:r>
      <w:r>
        <w:rPr>
          <w:rFonts w:hint="eastAsia" w:ascii="宋体" w:hAnsi="宋体" w:eastAsia="宋体" w:cs="宋体"/>
          <w:i w:val="0"/>
          <w:iCs w:val="0"/>
          <w:caps w:val="0"/>
          <w:snapToGrid w:val="0"/>
          <w:color w:val="333333"/>
          <w:spacing w:val="0"/>
          <w:kern w:val="0"/>
          <w:sz w:val="32"/>
          <w:szCs w:val="32"/>
          <w:shd w:val="clear" w:fill="FFFFFF"/>
          <w:lang w:val="en-US" w:eastAsia="zh-CN" w:bidi="ar"/>
        </w:rPr>
        <w:t>5</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年。本措施实施后，此前印发的《赣州市进一步促进私募投资基金业发展若干措施》（赣市府办发〔</w:t>
      </w:r>
      <w:r>
        <w:rPr>
          <w:rFonts w:hint="eastAsia" w:ascii="宋体" w:hAnsi="宋体" w:eastAsia="宋体" w:cs="宋体"/>
          <w:i w:val="0"/>
          <w:iCs w:val="0"/>
          <w:caps w:val="0"/>
          <w:snapToGrid w:val="0"/>
          <w:color w:val="333333"/>
          <w:spacing w:val="0"/>
          <w:kern w:val="0"/>
          <w:sz w:val="32"/>
          <w:szCs w:val="32"/>
          <w:shd w:val="clear" w:fill="FFFFFF"/>
          <w:lang w:val="en-US" w:eastAsia="zh-CN" w:bidi="ar"/>
        </w:rPr>
        <w:t>2016</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w:t>
      </w:r>
      <w:r>
        <w:rPr>
          <w:rFonts w:hint="eastAsia" w:ascii="宋体" w:hAnsi="宋体" w:eastAsia="宋体" w:cs="宋体"/>
          <w:i w:val="0"/>
          <w:iCs w:val="0"/>
          <w:caps w:val="0"/>
          <w:snapToGrid w:val="0"/>
          <w:color w:val="333333"/>
          <w:spacing w:val="0"/>
          <w:kern w:val="0"/>
          <w:sz w:val="32"/>
          <w:szCs w:val="32"/>
          <w:shd w:val="clear" w:fill="FFFFFF"/>
          <w:lang w:val="en-US" w:eastAsia="zh-CN" w:bidi="ar"/>
        </w:rPr>
        <w:t>3</w:t>
      </w:r>
      <w:r>
        <w:rPr>
          <w:rFonts w:hint="eastAsia" w:ascii="仿宋_GB2312" w:hAnsi="Calibri" w:eastAsia="仿宋_GB2312" w:cs="仿宋_GB2312"/>
          <w:i w:val="0"/>
          <w:iCs w:val="0"/>
          <w:caps w:val="0"/>
          <w:snapToGrid w:val="0"/>
          <w:color w:val="333333"/>
          <w:spacing w:val="0"/>
          <w:kern w:val="0"/>
          <w:sz w:val="32"/>
          <w:szCs w:val="32"/>
          <w:shd w:val="clear" w:fill="FFFFFF"/>
          <w:lang w:val="en-US" w:eastAsia="zh-CN" w:bidi="ar"/>
        </w:rPr>
        <w:t>号）同时废止。</w:t>
      </w:r>
    </w:p>
    <w:p>
      <w:pPr>
        <w:spacing w:line="240" w:lineRule="auto"/>
        <w:rPr>
          <w:rFonts w:ascii="仿宋_GB2312" w:eastAsia="仿宋_GB2312"/>
          <w:sz w:val="21"/>
          <w:szCs w:val="21"/>
        </w:rPr>
      </w:pPr>
    </w:p>
    <w:p>
      <w:pPr>
        <w:pBdr>
          <w:top w:val="none" w:color="auto" w:sz="0" w:space="0"/>
          <w:bottom w:val="none" w:color="auto" w:sz="0" w:space="0"/>
          <w:between w:val="none" w:color="auto" w:sz="0" w:space="0"/>
        </w:pBdr>
        <w:spacing w:line="240" w:lineRule="auto"/>
        <w:ind w:firstLine="0" w:firstLineChars="0"/>
      </w:pPr>
    </w:p>
    <w:sectPr>
      <w:footerReference r:id="rId3" w:type="default"/>
      <w:footerReference r:id="rId4" w:type="even"/>
      <w:pgSz w:w="11906" w:h="16838"/>
      <w:pgMar w:top="1440" w:right="1797" w:bottom="130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方正书宋繁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83849"/>
    </w:sdtPr>
    <w:sdtEndPr>
      <w:rPr>
        <w:rFonts w:asciiTheme="minorEastAsia" w:hAnsiTheme="minorEastAsia"/>
        <w:sz w:val="24"/>
        <w:szCs w:val="24"/>
      </w:rPr>
    </w:sdtEndPr>
    <w:sdtContent>
      <w:p>
        <w:pPr>
          <w:pStyle w:val="4"/>
          <w:jc w:val="right"/>
        </w:pPr>
      </w:p>
      <w:p>
        <w:pPr>
          <w:pStyle w:val="4"/>
          <w:jc w:val="righ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1 -</w:t>
        </w:r>
        <w:r>
          <w:rPr>
            <w:rFonts w:asciiTheme="minorEastAsia" w:hAnsi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883852"/>
    </w:sdtPr>
    <w:sdtEndPr>
      <w:rPr>
        <w:rFonts w:hint="eastAsia" w:asciiTheme="minorEastAsia" w:hAnsiTheme="minorEastAsia"/>
        <w:sz w:val="21"/>
      </w:rPr>
    </w:sdtEndPr>
    <w:sdtContent>
      <w:p>
        <w:pPr>
          <w:pStyle w:val="4"/>
          <w:rPr>
            <w:rFonts w:asciiTheme="minorEastAsia" w:hAnsiTheme="minorEastAsia"/>
            <w:sz w:val="21"/>
          </w:rPr>
        </w:pPr>
        <w:r>
          <w:rPr>
            <w:rFonts w:hint="eastAsia" w:asciiTheme="minorEastAsia" w:hAnsiTheme="minorEastAsia"/>
            <w:sz w:val="24"/>
          </w:rPr>
          <w:fldChar w:fldCharType="begin"/>
        </w:r>
        <w:r>
          <w:rPr>
            <w:rFonts w:hint="eastAsia" w:asciiTheme="minorEastAsia" w:hAnsiTheme="minorEastAsia"/>
            <w:sz w:val="24"/>
          </w:rPr>
          <w:instrText xml:space="preserve"> PAGE   \* MERGEFORMAT </w:instrText>
        </w:r>
        <w:r>
          <w:rPr>
            <w:rFonts w:hint="eastAsia" w:asciiTheme="minorEastAsia" w:hAnsiTheme="minorEastAsia"/>
            <w:sz w:val="24"/>
          </w:rPr>
          <w:fldChar w:fldCharType="separate"/>
        </w:r>
        <w:r>
          <w:rPr>
            <w:rFonts w:asciiTheme="minorEastAsia" w:hAnsiTheme="minorEastAsia"/>
            <w:sz w:val="24"/>
            <w:lang w:val="zh-CN"/>
          </w:rPr>
          <w:t>-</w:t>
        </w:r>
        <w:r>
          <w:rPr>
            <w:rFonts w:asciiTheme="minorEastAsia" w:hAnsiTheme="minorEastAsia"/>
            <w:sz w:val="24"/>
          </w:rPr>
          <w:t xml:space="preserve"> 10 -</w:t>
        </w:r>
        <w:r>
          <w:rPr>
            <w:rFonts w:hint="eastAsia" w:asciiTheme="minorEastAsia" w:hAnsiTheme="minorEastAsia"/>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jRkZTg4OTEzY2YzZjFkODQzZjdkZWU2NTM1NTYifQ=="/>
  </w:docVars>
  <w:rsids>
    <w:rsidRoot w:val="00CC7B46"/>
    <w:rsid w:val="00005C52"/>
    <w:rsid w:val="00017FF6"/>
    <w:rsid w:val="00022506"/>
    <w:rsid w:val="00040878"/>
    <w:rsid w:val="000426B7"/>
    <w:rsid w:val="00055253"/>
    <w:rsid w:val="00066ABF"/>
    <w:rsid w:val="00071DA8"/>
    <w:rsid w:val="00071F14"/>
    <w:rsid w:val="000F049B"/>
    <w:rsid w:val="000F2A69"/>
    <w:rsid w:val="00111E2F"/>
    <w:rsid w:val="00120172"/>
    <w:rsid w:val="0012230A"/>
    <w:rsid w:val="001268D6"/>
    <w:rsid w:val="00132B60"/>
    <w:rsid w:val="00140C04"/>
    <w:rsid w:val="00144D04"/>
    <w:rsid w:val="00145D82"/>
    <w:rsid w:val="001620E4"/>
    <w:rsid w:val="00172689"/>
    <w:rsid w:val="00186C17"/>
    <w:rsid w:val="00190569"/>
    <w:rsid w:val="001B5240"/>
    <w:rsid w:val="001F66D5"/>
    <w:rsid w:val="00215F62"/>
    <w:rsid w:val="002222B8"/>
    <w:rsid w:val="00222309"/>
    <w:rsid w:val="00251393"/>
    <w:rsid w:val="002C3050"/>
    <w:rsid w:val="002C58E0"/>
    <w:rsid w:val="002C7369"/>
    <w:rsid w:val="002D27B5"/>
    <w:rsid w:val="00332FA8"/>
    <w:rsid w:val="003331B4"/>
    <w:rsid w:val="003433B4"/>
    <w:rsid w:val="00345D23"/>
    <w:rsid w:val="003B0011"/>
    <w:rsid w:val="003C4B84"/>
    <w:rsid w:val="003C7D8C"/>
    <w:rsid w:val="003E3D31"/>
    <w:rsid w:val="00417013"/>
    <w:rsid w:val="00422948"/>
    <w:rsid w:val="00422B18"/>
    <w:rsid w:val="00427A9D"/>
    <w:rsid w:val="00432A26"/>
    <w:rsid w:val="0043383C"/>
    <w:rsid w:val="0043612B"/>
    <w:rsid w:val="00443916"/>
    <w:rsid w:val="00462A9C"/>
    <w:rsid w:val="004766E5"/>
    <w:rsid w:val="004A6307"/>
    <w:rsid w:val="004C0B2C"/>
    <w:rsid w:val="004E100D"/>
    <w:rsid w:val="0055675C"/>
    <w:rsid w:val="005822DF"/>
    <w:rsid w:val="00592139"/>
    <w:rsid w:val="005E232A"/>
    <w:rsid w:val="005F7B41"/>
    <w:rsid w:val="006277FC"/>
    <w:rsid w:val="006401FD"/>
    <w:rsid w:val="006649A2"/>
    <w:rsid w:val="006A300A"/>
    <w:rsid w:val="006A5F53"/>
    <w:rsid w:val="006B0A73"/>
    <w:rsid w:val="006C162B"/>
    <w:rsid w:val="00734615"/>
    <w:rsid w:val="00762B50"/>
    <w:rsid w:val="0076633C"/>
    <w:rsid w:val="00805426"/>
    <w:rsid w:val="008065E9"/>
    <w:rsid w:val="00806C1B"/>
    <w:rsid w:val="008101A6"/>
    <w:rsid w:val="00823DB7"/>
    <w:rsid w:val="008303A3"/>
    <w:rsid w:val="0084629C"/>
    <w:rsid w:val="008C144D"/>
    <w:rsid w:val="008F24A7"/>
    <w:rsid w:val="00910616"/>
    <w:rsid w:val="00936732"/>
    <w:rsid w:val="00937C84"/>
    <w:rsid w:val="00940213"/>
    <w:rsid w:val="00965991"/>
    <w:rsid w:val="00991BDA"/>
    <w:rsid w:val="00A05D65"/>
    <w:rsid w:val="00A075F7"/>
    <w:rsid w:val="00A8007D"/>
    <w:rsid w:val="00A82292"/>
    <w:rsid w:val="00A95FA9"/>
    <w:rsid w:val="00AA62F6"/>
    <w:rsid w:val="00AB5CF0"/>
    <w:rsid w:val="00AC4449"/>
    <w:rsid w:val="00B13042"/>
    <w:rsid w:val="00B36C9C"/>
    <w:rsid w:val="00B450AD"/>
    <w:rsid w:val="00B765F9"/>
    <w:rsid w:val="00B8338C"/>
    <w:rsid w:val="00BA080E"/>
    <w:rsid w:val="00BB2447"/>
    <w:rsid w:val="00BE05A9"/>
    <w:rsid w:val="00C12DE9"/>
    <w:rsid w:val="00C15ECC"/>
    <w:rsid w:val="00C164E4"/>
    <w:rsid w:val="00C2167E"/>
    <w:rsid w:val="00C319AD"/>
    <w:rsid w:val="00C36470"/>
    <w:rsid w:val="00C669E5"/>
    <w:rsid w:val="00C727F7"/>
    <w:rsid w:val="00C77A11"/>
    <w:rsid w:val="00C91BFF"/>
    <w:rsid w:val="00CA013A"/>
    <w:rsid w:val="00CC1306"/>
    <w:rsid w:val="00CC7B46"/>
    <w:rsid w:val="00CE3F10"/>
    <w:rsid w:val="00CE5DB9"/>
    <w:rsid w:val="00D007D1"/>
    <w:rsid w:val="00D0358C"/>
    <w:rsid w:val="00D06A88"/>
    <w:rsid w:val="00D10B63"/>
    <w:rsid w:val="00D15429"/>
    <w:rsid w:val="00D508E9"/>
    <w:rsid w:val="00D56934"/>
    <w:rsid w:val="00D73401"/>
    <w:rsid w:val="00D75409"/>
    <w:rsid w:val="00D84606"/>
    <w:rsid w:val="00D92CE1"/>
    <w:rsid w:val="00DC425F"/>
    <w:rsid w:val="00DD0C81"/>
    <w:rsid w:val="00DF2FC3"/>
    <w:rsid w:val="00E276A5"/>
    <w:rsid w:val="00E42C9C"/>
    <w:rsid w:val="00E927C2"/>
    <w:rsid w:val="00EC0C49"/>
    <w:rsid w:val="00EC297A"/>
    <w:rsid w:val="00ED38D0"/>
    <w:rsid w:val="00EF5150"/>
    <w:rsid w:val="00F11771"/>
    <w:rsid w:val="00F128A3"/>
    <w:rsid w:val="00F223E1"/>
    <w:rsid w:val="00F3014E"/>
    <w:rsid w:val="00F62B9A"/>
    <w:rsid w:val="00FB5A9D"/>
    <w:rsid w:val="00FC2336"/>
    <w:rsid w:val="00FD238B"/>
    <w:rsid w:val="00FD76C8"/>
    <w:rsid w:val="00FE01A7"/>
    <w:rsid w:val="00FF059D"/>
    <w:rsid w:val="0A3A106D"/>
    <w:rsid w:val="0A8168BF"/>
    <w:rsid w:val="0F415F97"/>
    <w:rsid w:val="1DF03A8C"/>
    <w:rsid w:val="2085417F"/>
    <w:rsid w:val="30E30AA1"/>
    <w:rsid w:val="38511260"/>
    <w:rsid w:val="38F07FC5"/>
    <w:rsid w:val="3A65014E"/>
    <w:rsid w:val="433F2648"/>
    <w:rsid w:val="49153299"/>
    <w:rsid w:val="4F7D21AA"/>
    <w:rsid w:val="52C04518"/>
    <w:rsid w:val="579B50D4"/>
    <w:rsid w:val="592A069B"/>
    <w:rsid w:val="5F274BA5"/>
    <w:rsid w:val="632A2521"/>
    <w:rsid w:val="79A82196"/>
    <w:rsid w:val="7EE94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4"/>
    <w:basedOn w:val="1"/>
    <w:next w:val="1"/>
    <w:link w:val="9"/>
    <w:qFormat/>
    <w:uiPriority w:val="0"/>
    <w:pPr>
      <w:keepNext/>
      <w:keepLines/>
      <w:spacing w:before="60" w:after="60" w:line="312" w:lineRule="auto"/>
      <w:ind w:firstLine="880" w:firstLineChars="200"/>
      <w:outlineLvl w:val="3"/>
    </w:pPr>
    <w:rPr>
      <w:rFonts w:ascii="Cambria" w:hAnsi="Cambria" w:cstheme="majorBidi"/>
      <w:b/>
      <w:bCs/>
      <w:sz w:val="24"/>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4 Char"/>
    <w:basedOn w:val="7"/>
    <w:link w:val="2"/>
    <w:qFormat/>
    <w:uiPriority w:val="0"/>
    <w:rPr>
      <w:rFonts w:ascii="Cambria" w:hAnsi="Cambria" w:cstheme="majorBidi"/>
      <w:b/>
      <w:bCs/>
      <w:kern w:val="2"/>
      <w:sz w:val="24"/>
      <w:szCs w:val="28"/>
    </w:rPr>
  </w:style>
  <w:style w:type="character" w:customStyle="1" w:styleId="10">
    <w:name w:val="页脚 Char"/>
    <w:basedOn w:val="7"/>
    <w:link w:val="4"/>
    <w:qFormat/>
    <w:uiPriority w:val="99"/>
    <w:rPr>
      <w:kern w:val="2"/>
      <w:sz w:val="18"/>
      <w:szCs w:val="18"/>
    </w:rPr>
  </w:style>
  <w:style w:type="character" w:customStyle="1" w:styleId="11">
    <w:name w:val="页眉 Char"/>
    <w:basedOn w:val="7"/>
    <w:link w:val="5"/>
    <w:semiHidden/>
    <w:qFormat/>
    <w:uiPriority w:val="99"/>
    <w:rPr>
      <w:rFonts w:ascii="Arial" w:hAnsi="Arial" w:cs="Arial" w:eastAsiaTheme="minorEastAsia"/>
      <w:snapToGrid w:val="0"/>
      <w:color w:val="000000"/>
      <w:sz w:val="18"/>
      <w:szCs w:val="18"/>
    </w:rPr>
  </w:style>
  <w:style w:type="character" w:customStyle="1" w:styleId="12">
    <w:name w:val="批注框文本 Char"/>
    <w:basedOn w:val="7"/>
    <w:link w:val="3"/>
    <w:semiHidden/>
    <w:qFormat/>
    <w:uiPriority w:val="99"/>
    <w:rPr>
      <w:rFonts w:ascii="Arial" w:hAnsi="Arial" w:cs="Arial" w:eastAsiaTheme="minorEastAsia"/>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FF1FC0-569B-4E04-8C6B-277CBBC6F441}">
  <ds:schemaRefs/>
</ds:datastoreItem>
</file>

<file path=docProps/app.xml><?xml version="1.0" encoding="utf-8"?>
<Properties xmlns="http://schemas.openxmlformats.org/officeDocument/2006/extended-properties" xmlns:vt="http://schemas.openxmlformats.org/officeDocument/2006/docPropsVTypes">
  <Template>Normal</Template>
  <Pages>7</Pages>
  <Words>8608</Words>
  <Characters>8746</Characters>
  <Lines>48</Lines>
  <Paragraphs>13</Paragraphs>
  <TotalTime>638</TotalTime>
  <ScaleCrop>false</ScaleCrop>
  <LinksUpToDate>false</LinksUpToDate>
  <CharactersWithSpaces>8836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2021-12-06T03:23:00Z</dcterms:created>
  <dc:creator>廖雨翔</dc:creator>
  <cp:lastModifiedBy>Administrator</cp:lastModifiedBy>
  <cp:lastPrinted>2022-01-28T01:42:00Z</cp:lastPrinted>
  <dcterms:modified xsi:type="dcterms:W3CDTF">2023-10-07T08:58:36Z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D623ED82E16B4E22A2FDEA5184AAD5A5_13</vt:lpwstr>
  </property>
</Properties>
</file>