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85FC54">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US" w:eastAsia="zh-CN"/>
        </w:rPr>
      </w:pPr>
      <w:bookmarkStart w:id="1" w:name="_GoBack"/>
      <w:bookmarkEnd w:id="1"/>
      <w:r>
        <w:rPr>
          <w:rFonts w:hint="eastAsia" w:ascii="仿宋_GB2312" w:hAnsi="仿宋_GB2312" w:eastAsia="仿宋_GB2312" w:cs="仿宋_GB2312"/>
          <w:sz w:val="32"/>
          <w:szCs w:val="32"/>
          <w:lang w:val="en-US" w:eastAsia="zh-CN"/>
        </w:rPr>
        <w:t>附件2</w:t>
      </w:r>
    </w:p>
    <w:p w14:paraId="50289C36">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US" w:eastAsia="zh-CN"/>
        </w:rPr>
      </w:pPr>
    </w:p>
    <w:p w14:paraId="1EE3663F">
      <w:pPr>
        <w:keepNext w:val="0"/>
        <w:keepLines w:val="0"/>
        <w:pageBreakBefore w:val="0"/>
        <w:widowControl w:val="0"/>
        <w:kinsoku/>
        <w:wordWrap/>
        <w:overflowPunct/>
        <w:topLinePunct w:val="0"/>
        <w:autoSpaceDE/>
        <w:autoSpaceDN/>
        <w:bidi w:val="0"/>
        <w:adjustRightInd/>
        <w:snapToGrid/>
        <w:spacing w:line="560" w:lineRule="exact"/>
        <w:ind w:firstLine="440" w:firstLineChars="100"/>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赣州市生态环境总体准入清单</w:t>
      </w:r>
    </w:p>
    <w:p w14:paraId="4883D1FF">
      <w:pPr>
        <w:keepNext w:val="0"/>
        <w:keepLines w:val="0"/>
        <w:pageBreakBefore w:val="0"/>
        <w:widowControl w:val="0"/>
        <w:kinsoku/>
        <w:wordWrap/>
        <w:overflowPunct/>
        <w:topLinePunct w:val="0"/>
        <w:autoSpaceDE/>
        <w:autoSpaceDN/>
        <w:bidi w:val="0"/>
        <w:adjustRightInd/>
        <w:snapToGrid/>
        <w:spacing w:line="560" w:lineRule="exact"/>
        <w:ind w:firstLine="440" w:firstLineChars="100"/>
        <w:jc w:val="center"/>
        <w:textAlignment w:val="auto"/>
        <w:rPr>
          <w:rFonts w:hint="eastAsia" w:ascii="方正小标宋_GBK" w:hAnsi="方正小标宋_GBK" w:eastAsia="方正小标宋_GBK" w:cs="方正小标宋_GBK"/>
          <w:sz w:val="44"/>
          <w:szCs w:val="44"/>
          <w:lang w:eastAsia="zh-CN"/>
        </w:rPr>
      </w:pPr>
    </w:p>
    <w:tbl>
      <w:tblPr>
        <w:tblStyle w:val="3"/>
        <w:tblW w:w="5195" w:type="pct"/>
        <w:tblInd w:w="113" w:type="dxa"/>
        <w:tblLayout w:type="autofit"/>
        <w:tblCellMar>
          <w:top w:w="0" w:type="dxa"/>
          <w:left w:w="108" w:type="dxa"/>
          <w:bottom w:w="0" w:type="dxa"/>
          <w:right w:w="108" w:type="dxa"/>
        </w:tblCellMar>
      </w:tblPr>
      <w:tblGrid>
        <w:gridCol w:w="1254"/>
        <w:gridCol w:w="1254"/>
        <w:gridCol w:w="1254"/>
        <w:gridCol w:w="9716"/>
      </w:tblGrid>
      <w:tr w14:paraId="38DB096B">
        <w:tblPrEx>
          <w:tblCellMar>
            <w:top w:w="0" w:type="dxa"/>
            <w:left w:w="108" w:type="dxa"/>
            <w:bottom w:w="0" w:type="dxa"/>
            <w:right w:w="108" w:type="dxa"/>
          </w:tblCellMar>
        </w:tblPrEx>
        <w:trPr>
          <w:trHeight w:val="318" w:hRule="atLeast"/>
          <w:tblHeader/>
        </w:trPr>
        <w:tc>
          <w:tcPr>
            <w:tcW w:w="465" w:type="pct"/>
            <w:tcBorders>
              <w:top w:val="single" w:color="auto" w:sz="4" w:space="0"/>
              <w:left w:val="single" w:color="auto" w:sz="4" w:space="0"/>
              <w:bottom w:val="single" w:color="auto" w:sz="4" w:space="0"/>
              <w:right w:val="single" w:color="auto" w:sz="4" w:space="0"/>
            </w:tcBorders>
            <w:noWrap w:val="0"/>
            <w:vAlign w:val="center"/>
          </w:tcPr>
          <w:p w14:paraId="1A65B111">
            <w:pPr>
              <w:snapToGrid w:val="0"/>
              <w:jc w:val="center"/>
              <w:rPr>
                <w:rFonts w:ascii="Times New Roman" w:hAnsi="Times New Roman"/>
                <w:b/>
              </w:rPr>
            </w:pPr>
            <w:bookmarkStart w:id="0" w:name="_Hlk151128258"/>
            <w:r>
              <w:rPr>
                <w:rFonts w:ascii="Times New Roman" w:hAnsi="Times New Roman"/>
                <w:b/>
              </w:rPr>
              <w:t>维度</w:t>
            </w:r>
          </w:p>
        </w:tc>
        <w:tc>
          <w:tcPr>
            <w:tcW w:w="465" w:type="pct"/>
            <w:tcBorders>
              <w:top w:val="single" w:color="auto" w:sz="4" w:space="0"/>
              <w:left w:val="nil"/>
              <w:bottom w:val="single" w:color="auto" w:sz="4" w:space="0"/>
              <w:right w:val="single" w:color="auto" w:sz="4" w:space="0"/>
            </w:tcBorders>
            <w:noWrap w:val="0"/>
            <w:vAlign w:val="center"/>
          </w:tcPr>
          <w:p w14:paraId="62BA4DB7">
            <w:pPr>
              <w:snapToGrid w:val="0"/>
              <w:jc w:val="center"/>
              <w:rPr>
                <w:rFonts w:ascii="Times New Roman" w:hAnsi="Times New Roman"/>
                <w:b/>
              </w:rPr>
            </w:pPr>
            <w:r>
              <w:rPr>
                <w:rFonts w:ascii="Times New Roman" w:hAnsi="Times New Roman"/>
                <w:b/>
              </w:rPr>
              <w:t>清单编制要求</w:t>
            </w:r>
          </w:p>
        </w:tc>
        <w:tc>
          <w:tcPr>
            <w:tcW w:w="465" w:type="pct"/>
            <w:tcBorders>
              <w:top w:val="single" w:color="auto" w:sz="4" w:space="0"/>
              <w:left w:val="nil"/>
              <w:bottom w:val="single" w:color="auto" w:sz="4" w:space="0"/>
              <w:right w:val="single" w:color="auto" w:sz="4" w:space="0"/>
            </w:tcBorders>
            <w:noWrap w:val="0"/>
            <w:vAlign w:val="center"/>
          </w:tcPr>
          <w:p w14:paraId="7B658B41">
            <w:pPr>
              <w:snapToGrid w:val="0"/>
              <w:jc w:val="center"/>
              <w:rPr>
                <w:rFonts w:ascii="Times New Roman" w:hAnsi="Times New Roman"/>
                <w:b/>
              </w:rPr>
            </w:pPr>
            <w:r>
              <w:rPr>
                <w:rFonts w:ascii="Times New Roman" w:hAnsi="Times New Roman"/>
                <w:b/>
              </w:rPr>
              <w:t>序号</w:t>
            </w:r>
          </w:p>
        </w:tc>
        <w:tc>
          <w:tcPr>
            <w:tcW w:w="3602" w:type="pct"/>
            <w:tcBorders>
              <w:top w:val="single" w:color="auto" w:sz="4" w:space="0"/>
              <w:left w:val="nil"/>
              <w:bottom w:val="single" w:color="auto" w:sz="4" w:space="0"/>
              <w:right w:val="single" w:color="auto" w:sz="4" w:space="0"/>
            </w:tcBorders>
            <w:noWrap w:val="0"/>
            <w:vAlign w:val="center"/>
          </w:tcPr>
          <w:p w14:paraId="414F9C1D">
            <w:pPr>
              <w:snapToGrid w:val="0"/>
              <w:jc w:val="center"/>
              <w:rPr>
                <w:rFonts w:ascii="Times New Roman" w:hAnsi="Times New Roman"/>
                <w:b/>
              </w:rPr>
            </w:pPr>
            <w:r>
              <w:rPr>
                <w:rFonts w:ascii="Times New Roman" w:hAnsi="Times New Roman"/>
                <w:b/>
              </w:rPr>
              <w:t>生态环境准入要求</w:t>
            </w:r>
          </w:p>
        </w:tc>
      </w:tr>
      <w:tr w14:paraId="1EC7CF29">
        <w:tblPrEx>
          <w:tblCellMar>
            <w:top w:w="0" w:type="dxa"/>
            <w:left w:w="108" w:type="dxa"/>
            <w:bottom w:w="0" w:type="dxa"/>
            <w:right w:w="108" w:type="dxa"/>
          </w:tblCellMar>
        </w:tblPrEx>
        <w:trPr>
          <w:trHeight w:val="165" w:hRule="atLeast"/>
        </w:trPr>
        <w:tc>
          <w:tcPr>
            <w:tcW w:w="465" w:type="pct"/>
            <w:vMerge w:val="restart"/>
            <w:tcBorders>
              <w:top w:val="nil"/>
              <w:left w:val="single" w:color="auto" w:sz="4" w:space="0"/>
              <w:right w:val="single" w:color="auto" w:sz="4" w:space="0"/>
            </w:tcBorders>
            <w:shd w:val="clear" w:color="auto" w:fill="auto"/>
            <w:noWrap w:val="0"/>
            <w:vAlign w:val="center"/>
          </w:tcPr>
          <w:p w14:paraId="230ED79F">
            <w:pPr>
              <w:snapToGrid w:val="0"/>
              <w:rPr>
                <w:rFonts w:ascii="Times New Roman" w:hAnsi="Times New Roman"/>
              </w:rPr>
            </w:pPr>
            <w:r>
              <w:rPr>
                <w:rFonts w:ascii="Times New Roman" w:hAnsi="Times New Roman"/>
              </w:rPr>
              <w:t>空间布局约束</w:t>
            </w:r>
          </w:p>
        </w:tc>
        <w:tc>
          <w:tcPr>
            <w:tcW w:w="465" w:type="pct"/>
            <w:vMerge w:val="restart"/>
            <w:tcBorders>
              <w:top w:val="nil"/>
              <w:left w:val="single" w:color="auto" w:sz="4" w:space="0"/>
              <w:right w:val="single" w:color="auto" w:sz="4" w:space="0"/>
            </w:tcBorders>
            <w:shd w:val="clear" w:color="000000" w:fill="FFFFFF"/>
            <w:noWrap w:val="0"/>
            <w:vAlign w:val="center"/>
          </w:tcPr>
          <w:p w14:paraId="72F11648">
            <w:pPr>
              <w:snapToGrid w:val="0"/>
              <w:jc w:val="center"/>
              <w:rPr>
                <w:rFonts w:ascii="Times New Roman" w:hAnsi="Times New Roman"/>
              </w:rPr>
            </w:pPr>
            <w:r>
              <w:rPr>
                <w:rFonts w:ascii="Times New Roman" w:hAnsi="Times New Roman"/>
              </w:rPr>
              <w:t>禁止开发建设活动的要求</w:t>
            </w:r>
          </w:p>
        </w:tc>
        <w:tc>
          <w:tcPr>
            <w:tcW w:w="465" w:type="pct"/>
            <w:vMerge w:val="restart"/>
            <w:tcBorders>
              <w:top w:val="nil"/>
              <w:left w:val="single" w:color="auto" w:sz="4" w:space="0"/>
              <w:right w:val="single" w:color="auto" w:sz="4" w:space="0"/>
            </w:tcBorders>
            <w:shd w:val="clear" w:color="000000" w:fill="FFFFFF"/>
            <w:noWrap w:val="0"/>
            <w:vAlign w:val="center"/>
          </w:tcPr>
          <w:p w14:paraId="581C557B">
            <w:pPr>
              <w:snapToGrid w:val="0"/>
              <w:jc w:val="center"/>
              <w:rPr>
                <w:rFonts w:ascii="Times New Roman" w:hAnsi="Times New Roman"/>
              </w:rPr>
            </w:pPr>
            <w:r>
              <w:rPr>
                <w:rFonts w:ascii="Times New Roman" w:hAnsi="Times New Roman"/>
              </w:rPr>
              <w:t>1</w:t>
            </w:r>
          </w:p>
        </w:tc>
        <w:tc>
          <w:tcPr>
            <w:tcW w:w="3602" w:type="pct"/>
            <w:tcBorders>
              <w:top w:val="nil"/>
              <w:left w:val="nil"/>
              <w:bottom w:val="single" w:color="auto" w:sz="4" w:space="0"/>
              <w:right w:val="single" w:color="auto" w:sz="4" w:space="0"/>
            </w:tcBorders>
            <w:shd w:val="clear" w:color="000000" w:fill="FFFFFF"/>
            <w:noWrap w:val="0"/>
            <w:vAlign w:val="center"/>
          </w:tcPr>
          <w:p w14:paraId="0DCA1C50">
            <w:pPr>
              <w:snapToGrid w:val="0"/>
              <w:rPr>
                <w:rFonts w:ascii="Times New Roman" w:hAnsi="Times New Roman"/>
              </w:rPr>
            </w:pPr>
            <w:r>
              <w:rPr>
                <w:rFonts w:ascii="Times New Roman" w:hAnsi="Times New Roman"/>
              </w:rPr>
              <w:t>1、禁止新建、改扩建《产业结构调整指导目录》规定的淘汰类产业。</w:t>
            </w:r>
          </w:p>
        </w:tc>
      </w:tr>
      <w:tr w14:paraId="4C6D2143">
        <w:tblPrEx>
          <w:tblCellMar>
            <w:top w:w="0" w:type="dxa"/>
            <w:left w:w="108" w:type="dxa"/>
            <w:bottom w:w="0" w:type="dxa"/>
            <w:right w:w="108" w:type="dxa"/>
          </w:tblCellMar>
        </w:tblPrEx>
        <w:trPr>
          <w:trHeight w:val="419" w:hRule="atLeast"/>
        </w:trPr>
        <w:tc>
          <w:tcPr>
            <w:tcW w:w="465" w:type="pct"/>
            <w:vMerge w:val="continue"/>
            <w:tcBorders>
              <w:left w:val="single" w:color="auto" w:sz="4" w:space="0"/>
              <w:right w:val="single" w:color="auto" w:sz="4" w:space="0"/>
            </w:tcBorders>
            <w:shd w:val="clear" w:color="auto" w:fill="auto"/>
            <w:noWrap w:val="0"/>
            <w:vAlign w:val="center"/>
          </w:tcPr>
          <w:p w14:paraId="6AB4F3BA">
            <w:pPr>
              <w:snapToGrid w:val="0"/>
              <w:rPr>
                <w:rFonts w:ascii="Times New Roman" w:hAnsi="Times New Roman"/>
              </w:rPr>
            </w:pPr>
          </w:p>
        </w:tc>
        <w:tc>
          <w:tcPr>
            <w:tcW w:w="465" w:type="pct"/>
            <w:vMerge w:val="continue"/>
            <w:tcBorders>
              <w:left w:val="single" w:color="auto" w:sz="4" w:space="0"/>
              <w:right w:val="single" w:color="auto" w:sz="4" w:space="0"/>
            </w:tcBorders>
            <w:shd w:val="clear" w:color="auto" w:fill="auto"/>
            <w:noWrap w:val="0"/>
            <w:vAlign w:val="center"/>
          </w:tcPr>
          <w:p w14:paraId="1AAC7BD3">
            <w:pPr>
              <w:snapToGrid w:val="0"/>
              <w:rPr>
                <w:rFonts w:ascii="Times New Roman" w:hAnsi="Times New Roman"/>
              </w:rPr>
            </w:pPr>
          </w:p>
        </w:tc>
        <w:tc>
          <w:tcPr>
            <w:tcW w:w="465" w:type="pct"/>
            <w:vMerge w:val="continue"/>
            <w:tcBorders>
              <w:left w:val="single" w:color="auto" w:sz="4" w:space="0"/>
              <w:right w:val="single" w:color="auto" w:sz="4" w:space="0"/>
            </w:tcBorders>
            <w:shd w:val="clear" w:color="auto" w:fill="auto"/>
            <w:noWrap w:val="0"/>
            <w:vAlign w:val="center"/>
          </w:tcPr>
          <w:p w14:paraId="1224FCCA">
            <w:pPr>
              <w:snapToGrid w:val="0"/>
              <w:jc w:val="center"/>
              <w:rPr>
                <w:rFonts w:ascii="Times New Roman" w:hAnsi="Times New Roman"/>
              </w:rPr>
            </w:pPr>
          </w:p>
        </w:tc>
        <w:tc>
          <w:tcPr>
            <w:tcW w:w="3602" w:type="pct"/>
            <w:tcBorders>
              <w:top w:val="nil"/>
              <w:left w:val="nil"/>
              <w:bottom w:val="single" w:color="auto" w:sz="4" w:space="0"/>
              <w:right w:val="single" w:color="auto" w:sz="4" w:space="0"/>
            </w:tcBorders>
            <w:shd w:val="clear" w:color="000000" w:fill="FFFFFF"/>
            <w:noWrap w:val="0"/>
            <w:vAlign w:val="center"/>
          </w:tcPr>
          <w:p w14:paraId="415ACE50">
            <w:pPr>
              <w:snapToGrid w:val="0"/>
              <w:rPr>
                <w:rFonts w:ascii="Times New Roman" w:hAnsi="Times New Roman"/>
              </w:rPr>
            </w:pPr>
            <w:r>
              <w:rPr>
                <w:rFonts w:ascii="Times New Roman" w:hAnsi="Times New Roman"/>
              </w:rPr>
              <w:t>2、大余县、上犹县、崇义县、龙南市、全南县、定南县、安远县和寻乌县禁止新建、改扩建江西省国家重点生态功能区产业准入负面清单（第一批）中禁止类项目；石城县禁止新建、改扩建江西省国家重点生态功能区产业准入负面清单（第二批）中禁止类项目。</w:t>
            </w:r>
          </w:p>
        </w:tc>
      </w:tr>
      <w:tr w14:paraId="64FD6740">
        <w:tblPrEx>
          <w:tblCellMar>
            <w:top w:w="0" w:type="dxa"/>
            <w:left w:w="108" w:type="dxa"/>
            <w:bottom w:w="0" w:type="dxa"/>
            <w:right w:w="108" w:type="dxa"/>
          </w:tblCellMar>
        </w:tblPrEx>
        <w:trPr>
          <w:trHeight w:val="369" w:hRule="atLeast"/>
        </w:trPr>
        <w:tc>
          <w:tcPr>
            <w:tcW w:w="465" w:type="pct"/>
            <w:vMerge w:val="continue"/>
            <w:tcBorders>
              <w:left w:val="single" w:color="auto" w:sz="4" w:space="0"/>
              <w:right w:val="single" w:color="auto" w:sz="4" w:space="0"/>
            </w:tcBorders>
            <w:shd w:val="clear" w:color="auto" w:fill="auto"/>
            <w:noWrap w:val="0"/>
            <w:vAlign w:val="center"/>
          </w:tcPr>
          <w:p w14:paraId="695668AF">
            <w:pPr>
              <w:snapToGrid w:val="0"/>
              <w:rPr>
                <w:rFonts w:ascii="Times New Roman" w:hAnsi="Times New Roman"/>
              </w:rPr>
            </w:pPr>
          </w:p>
        </w:tc>
        <w:tc>
          <w:tcPr>
            <w:tcW w:w="465" w:type="pct"/>
            <w:vMerge w:val="continue"/>
            <w:tcBorders>
              <w:left w:val="single" w:color="auto" w:sz="4" w:space="0"/>
              <w:right w:val="single" w:color="auto" w:sz="4" w:space="0"/>
            </w:tcBorders>
            <w:shd w:val="clear" w:color="auto" w:fill="auto"/>
            <w:noWrap w:val="0"/>
            <w:vAlign w:val="center"/>
          </w:tcPr>
          <w:p w14:paraId="456A6963">
            <w:pPr>
              <w:snapToGrid w:val="0"/>
              <w:rPr>
                <w:rFonts w:ascii="Times New Roman" w:hAnsi="Times New Roman"/>
              </w:rPr>
            </w:pPr>
          </w:p>
        </w:tc>
        <w:tc>
          <w:tcPr>
            <w:tcW w:w="465" w:type="pct"/>
            <w:vMerge w:val="continue"/>
            <w:tcBorders>
              <w:left w:val="single" w:color="auto" w:sz="4" w:space="0"/>
              <w:right w:val="single" w:color="auto" w:sz="4" w:space="0"/>
            </w:tcBorders>
            <w:shd w:val="clear" w:color="auto" w:fill="auto"/>
            <w:noWrap w:val="0"/>
            <w:vAlign w:val="center"/>
          </w:tcPr>
          <w:p w14:paraId="3F9A83F1">
            <w:pPr>
              <w:snapToGrid w:val="0"/>
              <w:jc w:val="center"/>
              <w:rPr>
                <w:rFonts w:ascii="Times New Roman" w:hAnsi="Times New Roman"/>
              </w:rPr>
            </w:pPr>
          </w:p>
        </w:tc>
        <w:tc>
          <w:tcPr>
            <w:tcW w:w="3602" w:type="pct"/>
            <w:tcBorders>
              <w:top w:val="nil"/>
              <w:left w:val="nil"/>
              <w:bottom w:val="single" w:color="auto" w:sz="4" w:space="0"/>
              <w:right w:val="single" w:color="auto" w:sz="4" w:space="0"/>
            </w:tcBorders>
            <w:shd w:val="clear" w:color="000000" w:fill="FFFFFF"/>
            <w:noWrap w:val="0"/>
            <w:vAlign w:val="center"/>
          </w:tcPr>
          <w:p w14:paraId="238775DC">
            <w:pPr>
              <w:snapToGrid w:val="0"/>
              <w:rPr>
                <w:rFonts w:ascii="Times New Roman" w:hAnsi="Times New Roman"/>
              </w:rPr>
            </w:pPr>
            <w:r>
              <w:rPr>
                <w:rFonts w:ascii="Times New Roman" w:hAnsi="Times New Roman"/>
              </w:rPr>
              <w:t>3、</w:t>
            </w:r>
            <w:r>
              <w:rPr>
                <w:rFonts w:hint="eastAsia" w:ascii="Times New Roman" w:hAnsi="Times New Roman"/>
              </w:rPr>
              <w:t>禁止在长江干支流、重要湖泊岸线一公里范围内新建、扩建化工园区和化工项目</w:t>
            </w:r>
            <w:r>
              <w:rPr>
                <w:rFonts w:ascii="Times New Roman" w:hAnsi="Times New Roman"/>
              </w:rPr>
              <w:t>。东江（定南水）源、东江（寻乌水）源、赣江（章江）源、赣江（贡江）源源头保护区内禁止新建污染企业等不符合源头保护区生态功能定位的活动。</w:t>
            </w:r>
          </w:p>
        </w:tc>
      </w:tr>
      <w:tr w14:paraId="5204D946">
        <w:tblPrEx>
          <w:tblCellMar>
            <w:top w:w="0" w:type="dxa"/>
            <w:left w:w="108" w:type="dxa"/>
            <w:bottom w:w="0" w:type="dxa"/>
            <w:right w:w="108" w:type="dxa"/>
          </w:tblCellMar>
        </w:tblPrEx>
        <w:trPr>
          <w:trHeight w:val="126" w:hRule="atLeast"/>
        </w:trPr>
        <w:tc>
          <w:tcPr>
            <w:tcW w:w="465" w:type="pct"/>
            <w:vMerge w:val="continue"/>
            <w:tcBorders>
              <w:left w:val="single" w:color="auto" w:sz="4" w:space="0"/>
              <w:right w:val="single" w:color="auto" w:sz="4" w:space="0"/>
            </w:tcBorders>
            <w:shd w:val="clear" w:color="auto" w:fill="auto"/>
            <w:noWrap w:val="0"/>
            <w:vAlign w:val="center"/>
          </w:tcPr>
          <w:p w14:paraId="5A8BECCA">
            <w:pPr>
              <w:snapToGrid w:val="0"/>
              <w:rPr>
                <w:rFonts w:ascii="Times New Roman" w:hAnsi="Times New Roman"/>
              </w:rPr>
            </w:pPr>
          </w:p>
        </w:tc>
        <w:tc>
          <w:tcPr>
            <w:tcW w:w="465" w:type="pct"/>
            <w:vMerge w:val="continue"/>
            <w:tcBorders>
              <w:left w:val="single" w:color="auto" w:sz="4" w:space="0"/>
              <w:right w:val="single" w:color="auto" w:sz="4" w:space="0"/>
            </w:tcBorders>
            <w:shd w:val="clear" w:color="auto" w:fill="auto"/>
            <w:noWrap w:val="0"/>
            <w:vAlign w:val="center"/>
          </w:tcPr>
          <w:p w14:paraId="276D068C">
            <w:pPr>
              <w:snapToGrid w:val="0"/>
              <w:rPr>
                <w:rFonts w:ascii="Times New Roman" w:hAnsi="Times New Roman"/>
              </w:rPr>
            </w:pPr>
          </w:p>
        </w:tc>
        <w:tc>
          <w:tcPr>
            <w:tcW w:w="465" w:type="pct"/>
            <w:vMerge w:val="continue"/>
            <w:tcBorders>
              <w:left w:val="single" w:color="auto" w:sz="4" w:space="0"/>
              <w:right w:val="single" w:color="auto" w:sz="4" w:space="0"/>
            </w:tcBorders>
            <w:shd w:val="clear" w:color="auto" w:fill="auto"/>
            <w:noWrap w:val="0"/>
            <w:vAlign w:val="center"/>
          </w:tcPr>
          <w:p w14:paraId="4BF58C8D">
            <w:pPr>
              <w:snapToGrid w:val="0"/>
              <w:jc w:val="center"/>
              <w:rPr>
                <w:rFonts w:ascii="Times New Roman" w:hAnsi="Times New Roman"/>
              </w:rPr>
            </w:pPr>
          </w:p>
        </w:tc>
        <w:tc>
          <w:tcPr>
            <w:tcW w:w="3602" w:type="pct"/>
            <w:tcBorders>
              <w:top w:val="nil"/>
              <w:left w:val="nil"/>
              <w:bottom w:val="single" w:color="auto" w:sz="4" w:space="0"/>
              <w:right w:val="single" w:color="auto" w:sz="4" w:space="0"/>
            </w:tcBorders>
            <w:shd w:val="clear" w:color="000000" w:fill="FFFFFF"/>
            <w:noWrap w:val="0"/>
            <w:vAlign w:val="center"/>
          </w:tcPr>
          <w:p w14:paraId="7AEFCFF8">
            <w:pPr>
              <w:snapToGrid w:val="0"/>
              <w:rPr>
                <w:rFonts w:ascii="Times New Roman" w:hAnsi="Times New Roman"/>
              </w:rPr>
            </w:pPr>
            <w:r>
              <w:rPr>
                <w:rFonts w:ascii="Times New Roman" w:hAnsi="Times New Roman"/>
              </w:rPr>
              <w:t>4、不得引进产业规划禁止类项目进入园区。</w:t>
            </w:r>
          </w:p>
        </w:tc>
      </w:tr>
      <w:tr w14:paraId="6CB4E598">
        <w:tblPrEx>
          <w:tblCellMar>
            <w:top w:w="0" w:type="dxa"/>
            <w:left w:w="108" w:type="dxa"/>
            <w:bottom w:w="0" w:type="dxa"/>
            <w:right w:w="108" w:type="dxa"/>
          </w:tblCellMar>
        </w:tblPrEx>
        <w:trPr>
          <w:trHeight w:val="126" w:hRule="atLeast"/>
        </w:trPr>
        <w:tc>
          <w:tcPr>
            <w:tcW w:w="465" w:type="pct"/>
            <w:vMerge w:val="continue"/>
            <w:tcBorders>
              <w:left w:val="single" w:color="auto" w:sz="4" w:space="0"/>
              <w:right w:val="single" w:color="auto" w:sz="4" w:space="0"/>
            </w:tcBorders>
            <w:shd w:val="clear" w:color="auto" w:fill="auto"/>
            <w:noWrap w:val="0"/>
            <w:vAlign w:val="center"/>
          </w:tcPr>
          <w:p w14:paraId="39EE1B60">
            <w:pPr>
              <w:snapToGrid w:val="0"/>
              <w:rPr>
                <w:rFonts w:ascii="Times New Roman" w:hAnsi="Times New Roman"/>
              </w:rPr>
            </w:pPr>
          </w:p>
        </w:tc>
        <w:tc>
          <w:tcPr>
            <w:tcW w:w="465" w:type="pct"/>
            <w:vMerge w:val="continue"/>
            <w:tcBorders>
              <w:left w:val="single" w:color="auto" w:sz="4" w:space="0"/>
              <w:right w:val="single" w:color="auto" w:sz="4" w:space="0"/>
            </w:tcBorders>
            <w:shd w:val="clear" w:color="auto" w:fill="auto"/>
            <w:noWrap w:val="0"/>
            <w:vAlign w:val="center"/>
          </w:tcPr>
          <w:p w14:paraId="4CB9AF65">
            <w:pPr>
              <w:snapToGrid w:val="0"/>
              <w:rPr>
                <w:rFonts w:ascii="Times New Roman" w:hAnsi="Times New Roman"/>
              </w:rPr>
            </w:pPr>
          </w:p>
        </w:tc>
        <w:tc>
          <w:tcPr>
            <w:tcW w:w="465" w:type="pct"/>
            <w:vMerge w:val="continue"/>
            <w:tcBorders>
              <w:left w:val="single" w:color="auto" w:sz="4" w:space="0"/>
              <w:right w:val="single" w:color="auto" w:sz="4" w:space="0"/>
            </w:tcBorders>
            <w:shd w:val="clear" w:color="auto" w:fill="auto"/>
            <w:noWrap w:val="0"/>
            <w:vAlign w:val="center"/>
          </w:tcPr>
          <w:p w14:paraId="5A93B058">
            <w:pPr>
              <w:snapToGrid w:val="0"/>
              <w:jc w:val="center"/>
              <w:rPr>
                <w:rFonts w:ascii="Times New Roman" w:hAnsi="Times New Roman"/>
              </w:rPr>
            </w:pPr>
          </w:p>
        </w:tc>
        <w:tc>
          <w:tcPr>
            <w:tcW w:w="3602" w:type="pct"/>
            <w:tcBorders>
              <w:top w:val="nil"/>
              <w:left w:val="nil"/>
              <w:bottom w:val="single" w:color="auto" w:sz="4" w:space="0"/>
              <w:right w:val="single" w:color="auto" w:sz="4" w:space="0"/>
            </w:tcBorders>
            <w:shd w:val="clear" w:color="000000" w:fill="FFFFFF"/>
            <w:noWrap w:val="0"/>
            <w:vAlign w:val="center"/>
          </w:tcPr>
          <w:p w14:paraId="7C69F545">
            <w:pPr>
              <w:snapToGrid w:val="0"/>
              <w:rPr>
                <w:rFonts w:ascii="Times New Roman" w:hAnsi="Times New Roman"/>
              </w:rPr>
            </w:pPr>
            <w:r>
              <w:rPr>
                <w:rFonts w:ascii="Times New Roman" w:hAnsi="Times New Roman"/>
              </w:rPr>
              <w:t>5、禁养区内禁止建设规模化养殖场或养殖小区。</w:t>
            </w:r>
          </w:p>
        </w:tc>
      </w:tr>
      <w:tr w14:paraId="6352326C">
        <w:tblPrEx>
          <w:tblCellMar>
            <w:top w:w="0" w:type="dxa"/>
            <w:left w:w="108" w:type="dxa"/>
            <w:bottom w:w="0" w:type="dxa"/>
            <w:right w:w="108" w:type="dxa"/>
          </w:tblCellMar>
        </w:tblPrEx>
        <w:trPr>
          <w:trHeight w:val="1333" w:hRule="atLeast"/>
        </w:trPr>
        <w:tc>
          <w:tcPr>
            <w:tcW w:w="465" w:type="pct"/>
            <w:vMerge w:val="continue"/>
            <w:tcBorders>
              <w:left w:val="single" w:color="auto" w:sz="4" w:space="0"/>
              <w:right w:val="single" w:color="auto" w:sz="4" w:space="0"/>
            </w:tcBorders>
            <w:shd w:val="clear" w:color="auto" w:fill="auto"/>
            <w:noWrap w:val="0"/>
            <w:vAlign w:val="center"/>
          </w:tcPr>
          <w:p w14:paraId="2002ED77">
            <w:pPr>
              <w:snapToGrid w:val="0"/>
              <w:rPr>
                <w:rFonts w:ascii="Times New Roman" w:hAnsi="Times New Roman"/>
              </w:rPr>
            </w:pPr>
          </w:p>
        </w:tc>
        <w:tc>
          <w:tcPr>
            <w:tcW w:w="465" w:type="pct"/>
            <w:vMerge w:val="continue"/>
            <w:tcBorders>
              <w:left w:val="single" w:color="auto" w:sz="4" w:space="0"/>
              <w:bottom w:val="single" w:color="000000" w:sz="4" w:space="0"/>
              <w:right w:val="single" w:color="auto" w:sz="4" w:space="0"/>
            </w:tcBorders>
            <w:shd w:val="clear" w:color="auto" w:fill="auto"/>
            <w:noWrap w:val="0"/>
            <w:vAlign w:val="center"/>
          </w:tcPr>
          <w:p w14:paraId="74562FC4">
            <w:pPr>
              <w:snapToGrid w:val="0"/>
              <w:rPr>
                <w:rFonts w:ascii="Times New Roman" w:hAnsi="Times New Roman"/>
              </w:rPr>
            </w:pPr>
          </w:p>
        </w:tc>
        <w:tc>
          <w:tcPr>
            <w:tcW w:w="465" w:type="pct"/>
            <w:vMerge w:val="continue"/>
            <w:tcBorders>
              <w:left w:val="single" w:color="auto" w:sz="4" w:space="0"/>
              <w:bottom w:val="single" w:color="000000" w:sz="4" w:space="0"/>
              <w:right w:val="single" w:color="auto" w:sz="4" w:space="0"/>
            </w:tcBorders>
            <w:shd w:val="clear" w:color="auto" w:fill="auto"/>
            <w:noWrap w:val="0"/>
            <w:vAlign w:val="center"/>
          </w:tcPr>
          <w:p w14:paraId="0F5E9230">
            <w:pPr>
              <w:snapToGrid w:val="0"/>
              <w:jc w:val="center"/>
              <w:rPr>
                <w:rFonts w:ascii="Times New Roman" w:hAnsi="Times New Roman"/>
              </w:rPr>
            </w:pPr>
          </w:p>
        </w:tc>
        <w:tc>
          <w:tcPr>
            <w:tcW w:w="3602" w:type="pct"/>
            <w:tcBorders>
              <w:top w:val="nil"/>
              <w:left w:val="nil"/>
              <w:bottom w:val="single" w:color="auto" w:sz="4" w:space="0"/>
              <w:right w:val="single" w:color="auto" w:sz="4" w:space="0"/>
            </w:tcBorders>
            <w:shd w:val="clear" w:color="000000" w:fill="FFFFFF"/>
            <w:noWrap w:val="0"/>
            <w:vAlign w:val="center"/>
          </w:tcPr>
          <w:p w14:paraId="69029C5D">
            <w:pPr>
              <w:snapToGrid w:val="0"/>
              <w:rPr>
                <w:rFonts w:ascii="Times New Roman" w:hAnsi="Times New Roman"/>
              </w:rPr>
            </w:pPr>
            <w:r>
              <w:rPr>
                <w:rFonts w:ascii="Times New Roman" w:hAnsi="Times New Roman"/>
              </w:rPr>
              <w:t>6、</w:t>
            </w:r>
            <w:r>
              <w:rPr>
                <w:rFonts w:hint="eastAsia" w:ascii="Times New Roman" w:hAnsi="Times New Roman"/>
              </w:rPr>
              <w:t>生态保护红线内，自然保护地核心保护区原则上禁止人为活动；</w:t>
            </w:r>
            <w:r>
              <w:rPr>
                <w:rFonts w:ascii="Times New Roman" w:hAnsi="Times New Roman"/>
              </w:rPr>
              <w:t>自然保护地核心保护区外，禁止开发性、生产性建设活动，在符合法律法规前提下，仅允许对生态功能不造成破坏的9类有限人为活动。生态保护红线内允许的有限人为活动，应当征求相关主管部门或具有审批权限的相关机构的意见。</w:t>
            </w:r>
          </w:p>
          <w:p w14:paraId="0172AC28">
            <w:pPr>
              <w:snapToGrid w:val="0"/>
              <w:rPr>
                <w:rFonts w:ascii="Times New Roman" w:hAnsi="Times New Roman"/>
              </w:rPr>
            </w:pPr>
            <w:r>
              <w:rPr>
                <w:rFonts w:ascii="Times New Roman" w:hAnsi="Times New Roman"/>
              </w:rPr>
              <w:t>1.管护巡护、保护执法、科学研究、调查监测、测绘导航、防灾减灾救灾、军事国防、疫情防控等活动及相关的必要设施修筑。</w:t>
            </w:r>
          </w:p>
          <w:p w14:paraId="25D6018B">
            <w:pPr>
              <w:snapToGrid w:val="0"/>
              <w:rPr>
                <w:rFonts w:ascii="Times New Roman" w:hAnsi="Times New Roman"/>
              </w:rPr>
            </w:pPr>
            <w:r>
              <w:rPr>
                <w:rFonts w:ascii="Times New Roman" w:hAnsi="Times New Roman"/>
              </w:rPr>
              <w:t>2.原住居民和其他合法权益主体，允许在不扩大现有建设用地、耕地、水产养殖规模和放牧强度（符合草畜平衡管理规定）的前提下，开展种植、放牧、捕捞、养殖等活动，修筑生产生活设施。</w:t>
            </w:r>
          </w:p>
          <w:p w14:paraId="4EFB8224">
            <w:pPr>
              <w:snapToGrid w:val="0"/>
              <w:rPr>
                <w:rFonts w:ascii="Times New Roman" w:hAnsi="Times New Roman"/>
              </w:rPr>
            </w:pPr>
            <w:r>
              <w:rPr>
                <w:rFonts w:ascii="Times New Roman" w:hAnsi="Times New Roman"/>
              </w:rPr>
              <w:t>3.经依法批准的考古调查发掘、古生物化石调查发掘、标本采集和文物保护活动。</w:t>
            </w:r>
          </w:p>
          <w:p w14:paraId="458CFE0D">
            <w:pPr>
              <w:snapToGrid w:val="0"/>
              <w:rPr>
                <w:rFonts w:ascii="Times New Roman" w:hAnsi="Times New Roman"/>
              </w:rPr>
            </w:pPr>
            <w:r>
              <w:rPr>
                <w:rFonts w:ascii="Times New Roman" w:hAnsi="Times New Roman"/>
              </w:rPr>
              <w:t>4.按规定对人工商品林进行抚育采伐，或以提升森林质量、优化栖息地、建设生物防火隔离带等为目的的树种更新，依法开展的竹林采伐经营。</w:t>
            </w:r>
          </w:p>
          <w:p w14:paraId="3C7714FF">
            <w:pPr>
              <w:snapToGrid w:val="0"/>
              <w:rPr>
                <w:rFonts w:ascii="Times New Roman" w:hAnsi="Times New Roman"/>
              </w:rPr>
            </w:pPr>
            <w:r>
              <w:rPr>
                <w:rFonts w:ascii="Times New Roman" w:hAnsi="Times New Roman"/>
              </w:rPr>
              <w:t>5.不破坏生态功能的适度参观旅游、科普宣教及符合相关规划的配套性服务设施和相关的必要公共设施建设及维护。</w:t>
            </w:r>
          </w:p>
          <w:p w14:paraId="20433A41">
            <w:pPr>
              <w:snapToGrid w:val="0"/>
              <w:rPr>
                <w:rFonts w:ascii="Times New Roman" w:hAnsi="Times New Roman"/>
              </w:rPr>
            </w:pPr>
            <w:r>
              <w:rPr>
                <w:rFonts w:ascii="Times New Roman" w:hAnsi="Times New Roman"/>
              </w:rPr>
              <w:t>6.必须且无法避让、符合县级以上国土空间规划的线性基础设施、通讯和防洪、供水设施建设和船舶航行、航道疏浚清淤等活动；已有的合法水利、交通运输等设施运行维护改造。</w:t>
            </w:r>
          </w:p>
          <w:p w14:paraId="0DFAC59F">
            <w:pPr>
              <w:snapToGrid w:val="0"/>
              <w:rPr>
                <w:rFonts w:ascii="Times New Roman" w:hAnsi="Times New Roman"/>
              </w:rPr>
            </w:pPr>
            <w:r>
              <w:rPr>
                <w:rFonts w:ascii="Times New Roman" w:hAnsi="Times New Roman"/>
              </w:rPr>
              <w:t>7.地质调查与矿产资源勘查开采。包括：基础地质调查和战略性矿产资源远景调查等公益性工作；铀矿勘查开采活动，可办理矿业权登记；已依法设立的油气探矿权继续勘查活动，可办理探矿权延续、变更（不含扩大勘查区块范围）、保留、注销，当发现可供开采油气资源并探明储量时，可将开采拟占用的地表依照国家相关规定调出生态保护红线；已依法设立的油气采矿权不扩大用地范围，继续开采，可办理采矿权延续、变更（不含扩大矿区范围）、注销；已依法设立的矿泉水和地热采矿权，在不超出已经核定的生产规模、不新增生产设施的前提下继续开采，可办理采矿权延续、变更（不含扩大矿区范围）、注销；已依法设立和新立铬、铜、镍、锂、钴、锆、钾盐、（中）重稀土矿等战略性矿产探矿权开展勘查活动，可办理探矿权登记，因国家战略需要开展开采活动的，可办理采矿权登记。上述勘查开采活动，应落实减缓生态环境影响措施，严格执行绿色勘查、开采及矿山环境生态修复相关要求。</w:t>
            </w:r>
          </w:p>
          <w:p w14:paraId="7205BEFD">
            <w:pPr>
              <w:snapToGrid w:val="0"/>
              <w:rPr>
                <w:rFonts w:ascii="Times New Roman" w:hAnsi="Times New Roman"/>
              </w:rPr>
            </w:pPr>
            <w:r>
              <w:rPr>
                <w:rFonts w:ascii="Times New Roman" w:hAnsi="Times New Roman"/>
              </w:rPr>
              <w:t>8.依据县级以上国土空间规划和生态保护修复专项规划开展的生态修复。</w:t>
            </w:r>
          </w:p>
          <w:p w14:paraId="4255BC6E">
            <w:pPr>
              <w:snapToGrid w:val="0"/>
              <w:rPr>
                <w:rFonts w:ascii="Times New Roman" w:hAnsi="Times New Roman"/>
              </w:rPr>
            </w:pPr>
            <w:r>
              <w:rPr>
                <w:rFonts w:ascii="Times New Roman" w:hAnsi="Times New Roman"/>
              </w:rPr>
              <w:t>9.法律法规规定允许的其他人为活动。</w:t>
            </w:r>
          </w:p>
          <w:p w14:paraId="64D9128A">
            <w:pPr>
              <w:snapToGrid w:val="0"/>
              <w:rPr>
                <w:rFonts w:hint="eastAsia" w:ascii="Times New Roman" w:hAnsi="Times New Roman"/>
              </w:rPr>
            </w:pPr>
          </w:p>
        </w:tc>
      </w:tr>
      <w:tr w14:paraId="42BED545">
        <w:tblPrEx>
          <w:tblCellMar>
            <w:top w:w="0" w:type="dxa"/>
            <w:left w:w="108" w:type="dxa"/>
            <w:bottom w:w="0" w:type="dxa"/>
            <w:right w:w="108" w:type="dxa"/>
          </w:tblCellMar>
        </w:tblPrEx>
        <w:trPr>
          <w:trHeight w:val="126" w:hRule="atLeast"/>
        </w:trPr>
        <w:tc>
          <w:tcPr>
            <w:tcW w:w="465" w:type="pct"/>
            <w:vMerge w:val="continue"/>
            <w:tcBorders>
              <w:left w:val="single" w:color="auto" w:sz="4" w:space="0"/>
              <w:right w:val="single" w:color="auto" w:sz="4" w:space="0"/>
            </w:tcBorders>
            <w:shd w:val="clear" w:color="auto" w:fill="auto"/>
            <w:noWrap w:val="0"/>
            <w:vAlign w:val="center"/>
          </w:tcPr>
          <w:p w14:paraId="044E8D5C">
            <w:pPr>
              <w:snapToGrid w:val="0"/>
              <w:rPr>
                <w:rFonts w:ascii="Times New Roman" w:hAnsi="Times New Roman"/>
              </w:rPr>
            </w:pPr>
          </w:p>
        </w:tc>
        <w:tc>
          <w:tcPr>
            <w:tcW w:w="465" w:type="pct"/>
            <w:vMerge w:val="restart"/>
            <w:tcBorders>
              <w:top w:val="nil"/>
              <w:left w:val="single" w:color="auto" w:sz="4" w:space="0"/>
              <w:right w:val="single" w:color="auto" w:sz="4" w:space="0"/>
            </w:tcBorders>
            <w:shd w:val="clear" w:color="000000" w:fill="FFFFFF"/>
            <w:noWrap w:val="0"/>
            <w:vAlign w:val="center"/>
          </w:tcPr>
          <w:p w14:paraId="0C5D1304">
            <w:pPr>
              <w:snapToGrid w:val="0"/>
              <w:jc w:val="center"/>
              <w:rPr>
                <w:rFonts w:ascii="Times New Roman" w:hAnsi="Times New Roman"/>
              </w:rPr>
            </w:pPr>
            <w:r>
              <w:rPr>
                <w:rFonts w:ascii="Times New Roman" w:hAnsi="Times New Roman"/>
              </w:rPr>
              <w:t>限制开发建设活动的要求</w:t>
            </w:r>
          </w:p>
        </w:tc>
        <w:tc>
          <w:tcPr>
            <w:tcW w:w="465" w:type="pct"/>
            <w:tcBorders>
              <w:top w:val="nil"/>
              <w:left w:val="nil"/>
              <w:bottom w:val="single" w:color="auto" w:sz="4" w:space="0"/>
              <w:right w:val="single" w:color="auto" w:sz="4" w:space="0"/>
            </w:tcBorders>
            <w:shd w:val="clear" w:color="000000" w:fill="FFFFFF"/>
            <w:noWrap w:val="0"/>
            <w:vAlign w:val="center"/>
          </w:tcPr>
          <w:p w14:paraId="20653A70">
            <w:pPr>
              <w:snapToGrid w:val="0"/>
              <w:jc w:val="center"/>
              <w:rPr>
                <w:rFonts w:ascii="Times New Roman" w:hAnsi="Times New Roman"/>
              </w:rPr>
            </w:pPr>
            <w:r>
              <w:rPr>
                <w:rFonts w:ascii="Times New Roman" w:hAnsi="Times New Roman"/>
              </w:rPr>
              <w:t>2</w:t>
            </w:r>
          </w:p>
        </w:tc>
        <w:tc>
          <w:tcPr>
            <w:tcW w:w="3602" w:type="pct"/>
            <w:tcBorders>
              <w:top w:val="nil"/>
              <w:left w:val="nil"/>
              <w:bottom w:val="single" w:color="auto" w:sz="4" w:space="0"/>
              <w:right w:val="single" w:color="auto" w:sz="4" w:space="0"/>
            </w:tcBorders>
            <w:shd w:val="clear" w:color="000000" w:fill="FFFFFF"/>
            <w:noWrap w:val="0"/>
            <w:vAlign w:val="center"/>
          </w:tcPr>
          <w:p w14:paraId="177B040A">
            <w:pPr>
              <w:snapToGrid w:val="0"/>
              <w:rPr>
                <w:rFonts w:ascii="Times New Roman" w:hAnsi="Times New Roman"/>
              </w:rPr>
            </w:pPr>
            <w:r>
              <w:rPr>
                <w:rFonts w:ascii="Times New Roman" w:hAnsi="Times New Roman"/>
              </w:rPr>
              <w:t>不得新建规模不符合各行业准入条件中的项目。</w:t>
            </w:r>
          </w:p>
        </w:tc>
      </w:tr>
      <w:tr w14:paraId="33935CAA">
        <w:tblPrEx>
          <w:tblCellMar>
            <w:top w:w="0" w:type="dxa"/>
            <w:left w:w="108" w:type="dxa"/>
            <w:bottom w:w="0" w:type="dxa"/>
            <w:right w:w="108" w:type="dxa"/>
          </w:tblCellMar>
        </w:tblPrEx>
        <w:trPr>
          <w:trHeight w:val="165" w:hRule="atLeast"/>
        </w:trPr>
        <w:tc>
          <w:tcPr>
            <w:tcW w:w="465" w:type="pct"/>
            <w:vMerge w:val="continue"/>
            <w:tcBorders>
              <w:left w:val="single" w:color="auto" w:sz="4" w:space="0"/>
              <w:right w:val="single" w:color="auto" w:sz="4" w:space="0"/>
            </w:tcBorders>
            <w:shd w:val="clear" w:color="auto" w:fill="auto"/>
            <w:noWrap w:val="0"/>
            <w:vAlign w:val="center"/>
          </w:tcPr>
          <w:p w14:paraId="3919C305">
            <w:pPr>
              <w:snapToGrid w:val="0"/>
              <w:rPr>
                <w:rFonts w:ascii="Times New Roman" w:hAnsi="Times New Roman"/>
              </w:rPr>
            </w:pPr>
          </w:p>
        </w:tc>
        <w:tc>
          <w:tcPr>
            <w:tcW w:w="465" w:type="pct"/>
            <w:vMerge w:val="continue"/>
            <w:tcBorders>
              <w:left w:val="single" w:color="auto" w:sz="4" w:space="0"/>
              <w:right w:val="single" w:color="auto" w:sz="4" w:space="0"/>
            </w:tcBorders>
            <w:shd w:val="clear" w:color="auto" w:fill="auto"/>
            <w:noWrap w:val="0"/>
            <w:vAlign w:val="center"/>
          </w:tcPr>
          <w:p w14:paraId="409D2E56">
            <w:pPr>
              <w:snapToGrid w:val="0"/>
              <w:rPr>
                <w:rFonts w:ascii="Times New Roman" w:hAnsi="Times New Roman"/>
              </w:rPr>
            </w:pPr>
          </w:p>
        </w:tc>
        <w:tc>
          <w:tcPr>
            <w:tcW w:w="465" w:type="pct"/>
            <w:tcBorders>
              <w:top w:val="nil"/>
              <w:left w:val="nil"/>
              <w:bottom w:val="single" w:color="auto" w:sz="4" w:space="0"/>
              <w:right w:val="single" w:color="auto" w:sz="4" w:space="0"/>
            </w:tcBorders>
            <w:shd w:val="clear" w:color="000000" w:fill="FFFFFF"/>
            <w:noWrap w:val="0"/>
            <w:vAlign w:val="center"/>
          </w:tcPr>
          <w:p w14:paraId="627C1AF2">
            <w:pPr>
              <w:snapToGrid w:val="0"/>
              <w:jc w:val="center"/>
              <w:rPr>
                <w:rFonts w:ascii="Times New Roman" w:hAnsi="Times New Roman"/>
              </w:rPr>
            </w:pPr>
            <w:r>
              <w:rPr>
                <w:rFonts w:ascii="Times New Roman" w:hAnsi="Times New Roman"/>
              </w:rPr>
              <w:t>3</w:t>
            </w:r>
          </w:p>
        </w:tc>
        <w:tc>
          <w:tcPr>
            <w:tcW w:w="3602" w:type="pct"/>
            <w:tcBorders>
              <w:top w:val="nil"/>
              <w:left w:val="nil"/>
              <w:bottom w:val="single" w:color="auto" w:sz="4" w:space="0"/>
              <w:right w:val="single" w:color="auto" w:sz="4" w:space="0"/>
            </w:tcBorders>
            <w:shd w:val="clear" w:color="000000" w:fill="FFFFFF"/>
            <w:noWrap w:val="0"/>
            <w:vAlign w:val="center"/>
          </w:tcPr>
          <w:p w14:paraId="5BA56C8F">
            <w:pPr>
              <w:snapToGrid w:val="0"/>
              <w:rPr>
                <w:rFonts w:ascii="Times New Roman" w:hAnsi="Times New Roman"/>
              </w:rPr>
            </w:pPr>
            <w:r>
              <w:rPr>
                <w:rFonts w:ascii="Times New Roman" w:hAnsi="Times New Roman"/>
              </w:rPr>
              <w:t>不得新建《国家淘汰落后生产能力、工艺和产品的目录》等名录中淘汰工艺和装备。</w:t>
            </w:r>
          </w:p>
        </w:tc>
      </w:tr>
      <w:tr w14:paraId="08DAA7F4">
        <w:tblPrEx>
          <w:tblCellMar>
            <w:top w:w="0" w:type="dxa"/>
            <w:left w:w="108" w:type="dxa"/>
            <w:bottom w:w="0" w:type="dxa"/>
            <w:right w:w="108" w:type="dxa"/>
          </w:tblCellMar>
        </w:tblPrEx>
        <w:trPr>
          <w:trHeight w:val="419" w:hRule="atLeast"/>
        </w:trPr>
        <w:tc>
          <w:tcPr>
            <w:tcW w:w="465" w:type="pct"/>
            <w:vMerge w:val="continue"/>
            <w:tcBorders>
              <w:left w:val="single" w:color="auto" w:sz="4" w:space="0"/>
              <w:right w:val="single" w:color="auto" w:sz="4" w:space="0"/>
            </w:tcBorders>
            <w:shd w:val="clear" w:color="auto" w:fill="auto"/>
            <w:noWrap w:val="0"/>
            <w:vAlign w:val="center"/>
          </w:tcPr>
          <w:p w14:paraId="7AA89F0A">
            <w:pPr>
              <w:snapToGrid w:val="0"/>
              <w:rPr>
                <w:rFonts w:ascii="Times New Roman" w:hAnsi="Times New Roman"/>
              </w:rPr>
            </w:pPr>
          </w:p>
        </w:tc>
        <w:tc>
          <w:tcPr>
            <w:tcW w:w="465" w:type="pct"/>
            <w:vMerge w:val="continue"/>
            <w:tcBorders>
              <w:left w:val="single" w:color="auto" w:sz="4" w:space="0"/>
              <w:right w:val="single" w:color="auto" w:sz="4" w:space="0"/>
            </w:tcBorders>
            <w:shd w:val="clear" w:color="auto" w:fill="auto"/>
            <w:noWrap w:val="0"/>
            <w:vAlign w:val="center"/>
          </w:tcPr>
          <w:p w14:paraId="5A40C892">
            <w:pPr>
              <w:snapToGrid w:val="0"/>
              <w:rPr>
                <w:rFonts w:ascii="Times New Roman" w:hAnsi="Times New Roman"/>
              </w:rPr>
            </w:pPr>
          </w:p>
        </w:tc>
        <w:tc>
          <w:tcPr>
            <w:tcW w:w="465" w:type="pct"/>
            <w:vMerge w:val="restart"/>
            <w:tcBorders>
              <w:top w:val="nil"/>
              <w:left w:val="single" w:color="auto" w:sz="4" w:space="0"/>
              <w:bottom w:val="single" w:color="000000" w:sz="4" w:space="0"/>
              <w:right w:val="single" w:color="auto" w:sz="4" w:space="0"/>
            </w:tcBorders>
            <w:shd w:val="clear" w:color="000000" w:fill="FFFFFF"/>
            <w:noWrap w:val="0"/>
            <w:vAlign w:val="center"/>
          </w:tcPr>
          <w:p w14:paraId="7C738861">
            <w:pPr>
              <w:snapToGrid w:val="0"/>
              <w:jc w:val="center"/>
              <w:rPr>
                <w:rFonts w:ascii="Times New Roman" w:hAnsi="Times New Roman"/>
              </w:rPr>
            </w:pPr>
            <w:r>
              <w:rPr>
                <w:rFonts w:ascii="Times New Roman" w:hAnsi="Times New Roman"/>
              </w:rPr>
              <w:t>4</w:t>
            </w:r>
          </w:p>
        </w:tc>
        <w:tc>
          <w:tcPr>
            <w:tcW w:w="3602" w:type="pct"/>
            <w:tcBorders>
              <w:top w:val="nil"/>
              <w:left w:val="nil"/>
              <w:bottom w:val="single" w:color="auto" w:sz="4" w:space="0"/>
              <w:right w:val="single" w:color="auto" w:sz="4" w:space="0"/>
            </w:tcBorders>
            <w:shd w:val="clear" w:color="000000" w:fill="FFFFFF"/>
            <w:noWrap w:val="0"/>
            <w:vAlign w:val="center"/>
          </w:tcPr>
          <w:p w14:paraId="7BB391FF">
            <w:pPr>
              <w:snapToGrid w:val="0"/>
              <w:rPr>
                <w:rFonts w:ascii="Times New Roman" w:hAnsi="Times New Roman"/>
              </w:rPr>
            </w:pPr>
            <w:r>
              <w:rPr>
                <w:rFonts w:ascii="Times New Roman" w:hAnsi="Times New Roman"/>
              </w:rPr>
              <w:t>江西省国家重点生态功能区产业准入负面清单（第一批）中限制类项目，大余县、上犹县、崇义县、龙南市、全南县、定南县、安远县和寻乌县按准入条件建设；江西省国家重点生态功能区产业准入负面清单（第二批）中限制类项目，石城县按准入条件建设。</w:t>
            </w:r>
          </w:p>
        </w:tc>
      </w:tr>
      <w:tr w14:paraId="61A2C6AB">
        <w:tblPrEx>
          <w:tblCellMar>
            <w:top w:w="0" w:type="dxa"/>
            <w:left w:w="108" w:type="dxa"/>
            <w:bottom w:w="0" w:type="dxa"/>
            <w:right w:w="108" w:type="dxa"/>
          </w:tblCellMar>
        </w:tblPrEx>
        <w:trPr>
          <w:trHeight w:val="117" w:hRule="atLeast"/>
        </w:trPr>
        <w:tc>
          <w:tcPr>
            <w:tcW w:w="465" w:type="pct"/>
            <w:vMerge w:val="continue"/>
            <w:tcBorders>
              <w:left w:val="single" w:color="auto" w:sz="4" w:space="0"/>
              <w:right w:val="single" w:color="auto" w:sz="4" w:space="0"/>
            </w:tcBorders>
            <w:shd w:val="clear" w:color="auto" w:fill="auto"/>
            <w:noWrap w:val="0"/>
            <w:vAlign w:val="center"/>
          </w:tcPr>
          <w:p w14:paraId="26C15967">
            <w:pPr>
              <w:snapToGrid w:val="0"/>
              <w:rPr>
                <w:rFonts w:ascii="Times New Roman" w:hAnsi="Times New Roman"/>
              </w:rPr>
            </w:pPr>
          </w:p>
        </w:tc>
        <w:tc>
          <w:tcPr>
            <w:tcW w:w="465" w:type="pct"/>
            <w:vMerge w:val="continue"/>
            <w:tcBorders>
              <w:left w:val="single" w:color="auto" w:sz="4" w:space="0"/>
              <w:right w:val="single" w:color="auto" w:sz="4" w:space="0"/>
            </w:tcBorders>
            <w:shd w:val="clear" w:color="auto" w:fill="auto"/>
            <w:noWrap w:val="0"/>
            <w:vAlign w:val="center"/>
          </w:tcPr>
          <w:p w14:paraId="333FB174">
            <w:pPr>
              <w:snapToGrid w:val="0"/>
              <w:rPr>
                <w:rFonts w:ascii="Times New Roman" w:hAnsi="Times New Roman"/>
              </w:rPr>
            </w:pPr>
          </w:p>
        </w:tc>
        <w:tc>
          <w:tcPr>
            <w:tcW w:w="465" w:type="pct"/>
            <w:vMerge w:val="continue"/>
            <w:tcBorders>
              <w:top w:val="nil"/>
              <w:left w:val="single" w:color="auto" w:sz="4" w:space="0"/>
              <w:bottom w:val="single" w:color="000000" w:sz="4" w:space="0"/>
              <w:right w:val="single" w:color="auto" w:sz="4" w:space="0"/>
            </w:tcBorders>
            <w:shd w:val="clear" w:color="auto" w:fill="auto"/>
            <w:noWrap w:val="0"/>
            <w:vAlign w:val="center"/>
          </w:tcPr>
          <w:p w14:paraId="6157BD67">
            <w:pPr>
              <w:snapToGrid w:val="0"/>
              <w:jc w:val="center"/>
              <w:rPr>
                <w:rFonts w:ascii="Times New Roman" w:hAnsi="Times New Roman"/>
              </w:rPr>
            </w:pPr>
          </w:p>
        </w:tc>
        <w:tc>
          <w:tcPr>
            <w:tcW w:w="3602" w:type="pct"/>
            <w:tcBorders>
              <w:top w:val="nil"/>
              <w:left w:val="nil"/>
              <w:bottom w:val="single" w:color="auto" w:sz="4" w:space="0"/>
              <w:right w:val="single" w:color="auto" w:sz="4" w:space="0"/>
            </w:tcBorders>
            <w:shd w:val="clear" w:color="000000" w:fill="FFFFFF"/>
            <w:noWrap w:val="0"/>
            <w:vAlign w:val="center"/>
          </w:tcPr>
          <w:p w14:paraId="64B176B5">
            <w:pPr>
              <w:snapToGrid w:val="0"/>
              <w:rPr>
                <w:rFonts w:ascii="Times New Roman" w:hAnsi="Times New Roman"/>
              </w:rPr>
            </w:pPr>
            <w:r>
              <w:rPr>
                <w:rFonts w:hint="eastAsia" w:ascii="Times New Roman" w:hAnsi="Times New Roman"/>
              </w:rPr>
              <w:t>/</w:t>
            </w:r>
          </w:p>
        </w:tc>
      </w:tr>
      <w:tr w14:paraId="22CE737B">
        <w:tblPrEx>
          <w:tblCellMar>
            <w:top w:w="0" w:type="dxa"/>
            <w:left w:w="108" w:type="dxa"/>
            <w:bottom w:w="0" w:type="dxa"/>
            <w:right w:w="108" w:type="dxa"/>
          </w:tblCellMar>
        </w:tblPrEx>
        <w:trPr>
          <w:trHeight w:val="165" w:hRule="atLeast"/>
        </w:trPr>
        <w:tc>
          <w:tcPr>
            <w:tcW w:w="465" w:type="pct"/>
            <w:vMerge w:val="continue"/>
            <w:tcBorders>
              <w:left w:val="single" w:color="auto" w:sz="4" w:space="0"/>
              <w:right w:val="single" w:color="auto" w:sz="4" w:space="0"/>
            </w:tcBorders>
            <w:shd w:val="clear" w:color="auto" w:fill="auto"/>
            <w:noWrap w:val="0"/>
            <w:vAlign w:val="center"/>
          </w:tcPr>
          <w:p w14:paraId="02BE94F3">
            <w:pPr>
              <w:snapToGrid w:val="0"/>
              <w:rPr>
                <w:rFonts w:ascii="Times New Roman" w:hAnsi="Times New Roman"/>
              </w:rPr>
            </w:pPr>
          </w:p>
        </w:tc>
        <w:tc>
          <w:tcPr>
            <w:tcW w:w="465" w:type="pct"/>
            <w:vMerge w:val="continue"/>
            <w:tcBorders>
              <w:left w:val="single" w:color="auto" w:sz="4" w:space="0"/>
              <w:right w:val="single" w:color="auto" w:sz="4" w:space="0"/>
            </w:tcBorders>
            <w:shd w:val="clear" w:color="auto" w:fill="auto"/>
            <w:noWrap w:val="0"/>
            <w:vAlign w:val="center"/>
          </w:tcPr>
          <w:p w14:paraId="310D7EED">
            <w:pPr>
              <w:snapToGrid w:val="0"/>
              <w:rPr>
                <w:rFonts w:ascii="Times New Roman" w:hAnsi="Times New Roman"/>
              </w:rPr>
            </w:pPr>
          </w:p>
        </w:tc>
        <w:tc>
          <w:tcPr>
            <w:tcW w:w="465" w:type="pct"/>
            <w:tcBorders>
              <w:top w:val="nil"/>
              <w:left w:val="single" w:color="auto" w:sz="4" w:space="0"/>
              <w:bottom w:val="single" w:color="000000" w:sz="4" w:space="0"/>
              <w:right w:val="single" w:color="auto" w:sz="4" w:space="0"/>
            </w:tcBorders>
            <w:shd w:val="clear" w:color="auto" w:fill="auto"/>
            <w:noWrap w:val="0"/>
            <w:vAlign w:val="center"/>
          </w:tcPr>
          <w:p w14:paraId="5217A120">
            <w:pPr>
              <w:snapToGrid w:val="0"/>
              <w:jc w:val="center"/>
              <w:rPr>
                <w:rFonts w:ascii="Times New Roman" w:hAnsi="Times New Roman"/>
              </w:rPr>
            </w:pPr>
            <w:r>
              <w:rPr>
                <w:rFonts w:ascii="Times New Roman" w:hAnsi="Times New Roman"/>
              </w:rPr>
              <w:t>5</w:t>
            </w:r>
          </w:p>
        </w:tc>
        <w:tc>
          <w:tcPr>
            <w:tcW w:w="3602" w:type="pct"/>
            <w:tcBorders>
              <w:top w:val="nil"/>
              <w:left w:val="nil"/>
              <w:bottom w:val="single" w:color="auto" w:sz="4" w:space="0"/>
              <w:right w:val="single" w:color="auto" w:sz="4" w:space="0"/>
            </w:tcBorders>
            <w:shd w:val="clear" w:color="000000" w:fill="FFFFFF"/>
            <w:noWrap w:val="0"/>
            <w:vAlign w:val="center"/>
          </w:tcPr>
          <w:p w14:paraId="4A78C19B">
            <w:pPr>
              <w:snapToGrid w:val="0"/>
              <w:rPr>
                <w:rFonts w:ascii="Times New Roman" w:hAnsi="Times New Roman"/>
              </w:rPr>
            </w:pPr>
            <w:r>
              <w:rPr>
                <w:rFonts w:ascii="Times New Roman" w:hAnsi="Times New Roman"/>
              </w:rPr>
              <w:t>禁止在饮用水水源一级保护区内新建、改建、扩建与供水设施和保护水源无关的建设项目。</w:t>
            </w:r>
          </w:p>
        </w:tc>
      </w:tr>
      <w:tr w14:paraId="109A21C9">
        <w:tblPrEx>
          <w:tblCellMar>
            <w:top w:w="0" w:type="dxa"/>
            <w:left w:w="108" w:type="dxa"/>
            <w:bottom w:w="0" w:type="dxa"/>
            <w:right w:w="108" w:type="dxa"/>
          </w:tblCellMar>
        </w:tblPrEx>
        <w:trPr>
          <w:trHeight w:val="246" w:hRule="atLeast"/>
        </w:trPr>
        <w:tc>
          <w:tcPr>
            <w:tcW w:w="465" w:type="pct"/>
            <w:vMerge w:val="continue"/>
            <w:tcBorders>
              <w:left w:val="single" w:color="auto" w:sz="4" w:space="0"/>
              <w:right w:val="single" w:color="auto" w:sz="4" w:space="0"/>
            </w:tcBorders>
            <w:shd w:val="clear" w:color="auto" w:fill="auto"/>
            <w:noWrap w:val="0"/>
            <w:vAlign w:val="center"/>
          </w:tcPr>
          <w:p w14:paraId="73A0A530">
            <w:pPr>
              <w:snapToGrid w:val="0"/>
              <w:rPr>
                <w:rFonts w:ascii="Times New Roman" w:hAnsi="Times New Roman"/>
              </w:rPr>
            </w:pPr>
          </w:p>
        </w:tc>
        <w:tc>
          <w:tcPr>
            <w:tcW w:w="465" w:type="pct"/>
            <w:vMerge w:val="restart"/>
            <w:tcBorders>
              <w:top w:val="single" w:color="auto" w:sz="4" w:space="0"/>
              <w:left w:val="single" w:color="auto" w:sz="4" w:space="0"/>
              <w:bottom w:val="single" w:color="000000" w:sz="4" w:space="0"/>
              <w:right w:val="single" w:color="auto" w:sz="4" w:space="0"/>
            </w:tcBorders>
            <w:shd w:val="clear" w:color="000000" w:fill="FFFFFF"/>
            <w:noWrap w:val="0"/>
            <w:vAlign w:val="center"/>
          </w:tcPr>
          <w:p w14:paraId="0472C3A0">
            <w:pPr>
              <w:snapToGrid w:val="0"/>
              <w:jc w:val="center"/>
              <w:rPr>
                <w:rFonts w:ascii="Times New Roman" w:hAnsi="Times New Roman"/>
              </w:rPr>
            </w:pPr>
            <w:r>
              <w:rPr>
                <w:rFonts w:ascii="Times New Roman" w:hAnsi="Times New Roman"/>
              </w:rPr>
              <w:t>不符合空间布局要求活动的退出要求</w:t>
            </w:r>
          </w:p>
        </w:tc>
        <w:tc>
          <w:tcPr>
            <w:tcW w:w="465" w:type="pct"/>
            <w:vMerge w:val="restart"/>
            <w:tcBorders>
              <w:top w:val="single" w:color="auto" w:sz="4" w:space="0"/>
              <w:left w:val="single" w:color="auto" w:sz="4" w:space="0"/>
              <w:bottom w:val="single" w:color="000000" w:sz="4" w:space="0"/>
              <w:right w:val="single" w:color="auto" w:sz="4" w:space="0"/>
            </w:tcBorders>
            <w:shd w:val="clear" w:color="000000" w:fill="FFFFFF"/>
            <w:noWrap w:val="0"/>
            <w:vAlign w:val="center"/>
          </w:tcPr>
          <w:p w14:paraId="61378B07">
            <w:pPr>
              <w:snapToGrid w:val="0"/>
              <w:jc w:val="center"/>
              <w:rPr>
                <w:rFonts w:ascii="Times New Roman" w:hAnsi="Times New Roman"/>
              </w:rPr>
            </w:pPr>
            <w:r>
              <w:rPr>
                <w:rFonts w:ascii="Times New Roman" w:hAnsi="Times New Roman"/>
              </w:rPr>
              <w:t>6</w:t>
            </w:r>
          </w:p>
        </w:tc>
        <w:tc>
          <w:tcPr>
            <w:tcW w:w="3602" w:type="pct"/>
            <w:tcBorders>
              <w:top w:val="nil"/>
              <w:left w:val="nil"/>
              <w:bottom w:val="single" w:color="auto" w:sz="4" w:space="0"/>
              <w:right w:val="single" w:color="auto" w:sz="4" w:space="0"/>
            </w:tcBorders>
            <w:shd w:val="clear" w:color="000000" w:fill="FFFFFF"/>
            <w:noWrap w:val="0"/>
            <w:vAlign w:val="center"/>
          </w:tcPr>
          <w:p w14:paraId="7992E09D">
            <w:pPr>
              <w:snapToGrid w:val="0"/>
              <w:rPr>
                <w:rFonts w:ascii="Times New Roman" w:hAnsi="Times New Roman"/>
              </w:rPr>
            </w:pPr>
            <w:r>
              <w:rPr>
                <w:rFonts w:hint="eastAsia" w:ascii="Times New Roman" w:hAnsi="Times New Roman"/>
              </w:rPr>
              <w:t>生态保护红线经国务院批准后，对需逐步有序退出的矿业权、建设用地、人工商品林、耕地等，按照尊重历史、实事求是、逐步退出的原则，报请省政府另行制定工作方案。</w:t>
            </w:r>
          </w:p>
        </w:tc>
      </w:tr>
      <w:tr w14:paraId="322C820C">
        <w:tblPrEx>
          <w:tblCellMar>
            <w:top w:w="0" w:type="dxa"/>
            <w:left w:w="108" w:type="dxa"/>
            <w:bottom w:w="0" w:type="dxa"/>
            <w:right w:w="108" w:type="dxa"/>
          </w:tblCellMar>
        </w:tblPrEx>
        <w:trPr>
          <w:trHeight w:val="165" w:hRule="atLeast"/>
        </w:trPr>
        <w:tc>
          <w:tcPr>
            <w:tcW w:w="465" w:type="pct"/>
            <w:vMerge w:val="continue"/>
            <w:tcBorders>
              <w:left w:val="single" w:color="auto" w:sz="4" w:space="0"/>
              <w:right w:val="single" w:color="auto" w:sz="4" w:space="0"/>
            </w:tcBorders>
            <w:shd w:val="clear" w:color="auto" w:fill="auto"/>
            <w:noWrap w:val="0"/>
            <w:vAlign w:val="center"/>
          </w:tcPr>
          <w:p w14:paraId="709771B2">
            <w:pPr>
              <w:snapToGrid w:val="0"/>
              <w:rPr>
                <w:rFonts w:ascii="Times New Roman" w:hAnsi="Times New Roman"/>
              </w:rPr>
            </w:pPr>
          </w:p>
        </w:tc>
        <w:tc>
          <w:tcPr>
            <w:tcW w:w="465" w:type="pct"/>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14:paraId="78D6B4DD">
            <w:pPr>
              <w:snapToGrid w:val="0"/>
              <w:rPr>
                <w:rFonts w:ascii="Times New Roman" w:hAnsi="Times New Roman"/>
              </w:rPr>
            </w:pPr>
          </w:p>
        </w:tc>
        <w:tc>
          <w:tcPr>
            <w:tcW w:w="465" w:type="pct"/>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14:paraId="479F0F05">
            <w:pPr>
              <w:snapToGrid w:val="0"/>
              <w:jc w:val="center"/>
              <w:rPr>
                <w:rFonts w:ascii="Times New Roman" w:hAnsi="Times New Roman"/>
              </w:rPr>
            </w:pPr>
          </w:p>
        </w:tc>
        <w:tc>
          <w:tcPr>
            <w:tcW w:w="3602" w:type="pct"/>
            <w:tcBorders>
              <w:top w:val="nil"/>
              <w:left w:val="nil"/>
              <w:bottom w:val="single" w:color="auto" w:sz="4" w:space="0"/>
              <w:right w:val="single" w:color="auto" w:sz="4" w:space="0"/>
            </w:tcBorders>
            <w:shd w:val="clear" w:color="000000" w:fill="FFFFFF"/>
            <w:noWrap w:val="0"/>
            <w:vAlign w:val="center"/>
          </w:tcPr>
          <w:p w14:paraId="7BB62EF1">
            <w:pPr>
              <w:snapToGrid w:val="0"/>
              <w:rPr>
                <w:rFonts w:ascii="Times New Roman" w:hAnsi="Times New Roman"/>
              </w:rPr>
            </w:pPr>
            <w:r>
              <w:rPr>
                <w:rFonts w:ascii="Times New Roman" w:hAnsi="Times New Roman"/>
              </w:rPr>
              <w:t>2、现有饮用水水源一级保护区内与供水设施和保护水源无关的建设项目拆除或关闭。</w:t>
            </w:r>
          </w:p>
        </w:tc>
      </w:tr>
      <w:tr w14:paraId="0655D408">
        <w:tblPrEx>
          <w:tblCellMar>
            <w:top w:w="0" w:type="dxa"/>
            <w:left w:w="108" w:type="dxa"/>
            <w:bottom w:w="0" w:type="dxa"/>
            <w:right w:w="108" w:type="dxa"/>
          </w:tblCellMar>
        </w:tblPrEx>
        <w:trPr>
          <w:trHeight w:val="365" w:hRule="atLeast"/>
        </w:trPr>
        <w:tc>
          <w:tcPr>
            <w:tcW w:w="465" w:type="pct"/>
            <w:vMerge w:val="continue"/>
            <w:tcBorders>
              <w:left w:val="single" w:color="auto" w:sz="4" w:space="0"/>
              <w:right w:val="single" w:color="auto" w:sz="4" w:space="0"/>
            </w:tcBorders>
            <w:shd w:val="clear" w:color="auto" w:fill="auto"/>
            <w:noWrap w:val="0"/>
            <w:vAlign w:val="center"/>
          </w:tcPr>
          <w:p w14:paraId="0CB18B49">
            <w:pPr>
              <w:snapToGrid w:val="0"/>
              <w:rPr>
                <w:rFonts w:ascii="Times New Roman" w:hAnsi="Times New Roman"/>
              </w:rPr>
            </w:pPr>
          </w:p>
        </w:tc>
        <w:tc>
          <w:tcPr>
            <w:tcW w:w="465" w:type="pct"/>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14:paraId="6D7CAB16">
            <w:pPr>
              <w:snapToGrid w:val="0"/>
              <w:rPr>
                <w:rFonts w:ascii="Times New Roman" w:hAnsi="Times New Roman"/>
              </w:rPr>
            </w:pPr>
          </w:p>
        </w:tc>
        <w:tc>
          <w:tcPr>
            <w:tcW w:w="465" w:type="pct"/>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14:paraId="7833F09E">
            <w:pPr>
              <w:snapToGrid w:val="0"/>
              <w:jc w:val="center"/>
              <w:rPr>
                <w:rFonts w:ascii="Times New Roman" w:hAnsi="Times New Roman"/>
              </w:rPr>
            </w:pPr>
          </w:p>
        </w:tc>
        <w:tc>
          <w:tcPr>
            <w:tcW w:w="3602" w:type="pct"/>
            <w:tcBorders>
              <w:top w:val="nil"/>
              <w:left w:val="nil"/>
              <w:bottom w:val="single" w:color="auto" w:sz="4" w:space="0"/>
              <w:right w:val="single" w:color="auto" w:sz="4" w:space="0"/>
            </w:tcBorders>
            <w:shd w:val="clear" w:color="000000" w:fill="FFFFFF"/>
            <w:noWrap w:val="0"/>
            <w:vAlign w:val="center"/>
          </w:tcPr>
          <w:p w14:paraId="17BB7832">
            <w:pPr>
              <w:snapToGrid w:val="0"/>
              <w:rPr>
                <w:rFonts w:ascii="Times New Roman" w:hAnsi="Times New Roman"/>
              </w:rPr>
            </w:pPr>
            <w:r>
              <w:rPr>
                <w:rFonts w:hint="eastAsia" w:ascii="Times New Roman" w:hAnsi="Times New Roman"/>
              </w:rPr>
              <w:t>/</w:t>
            </w:r>
          </w:p>
        </w:tc>
      </w:tr>
      <w:tr w14:paraId="3EA6104B">
        <w:tblPrEx>
          <w:tblCellMar>
            <w:top w:w="0" w:type="dxa"/>
            <w:left w:w="108" w:type="dxa"/>
            <w:bottom w:w="0" w:type="dxa"/>
            <w:right w:w="108" w:type="dxa"/>
          </w:tblCellMar>
        </w:tblPrEx>
        <w:trPr>
          <w:trHeight w:val="1287" w:hRule="atLeast"/>
        </w:trPr>
        <w:tc>
          <w:tcPr>
            <w:tcW w:w="465" w:type="pct"/>
            <w:vMerge w:val="continue"/>
            <w:tcBorders>
              <w:left w:val="single" w:color="auto" w:sz="4" w:space="0"/>
              <w:bottom w:val="single" w:color="000000" w:sz="4" w:space="0"/>
              <w:right w:val="single" w:color="auto" w:sz="4" w:space="0"/>
            </w:tcBorders>
            <w:shd w:val="clear" w:color="auto" w:fill="auto"/>
            <w:noWrap w:val="0"/>
            <w:vAlign w:val="center"/>
          </w:tcPr>
          <w:p w14:paraId="2201AA05">
            <w:pPr>
              <w:snapToGrid w:val="0"/>
              <w:rPr>
                <w:rFonts w:ascii="Times New Roman" w:hAnsi="Times New Roman"/>
              </w:rPr>
            </w:pPr>
          </w:p>
        </w:tc>
        <w:tc>
          <w:tcPr>
            <w:tcW w:w="465" w:type="pct"/>
            <w:tcBorders>
              <w:top w:val="single" w:color="auto" w:sz="4" w:space="0"/>
              <w:left w:val="single" w:color="auto" w:sz="4" w:space="0"/>
              <w:bottom w:val="single" w:color="000000" w:sz="4" w:space="0"/>
              <w:right w:val="single" w:color="auto" w:sz="4" w:space="0"/>
            </w:tcBorders>
            <w:shd w:val="clear" w:color="auto" w:fill="auto"/>
            <w:noWrap w:val="0"/>
            <w:vAlign w:val="center"/>
          </w:tcPr>
          <w:p w14:paraId="732DC506">
            <w:pPr>
              <w:snapToGrid w:val="0"/>
              <w:jc w:val="center"/>
              <w:rPr>
                <w:rFonts w:ascii="Times New Roman" w:hAnsi="Times New Roman"/>
              </w:rPr>
            </w:pPr>
            <w:r>
              <w:rPr>
                <w:rFonts w:hint="eastAsia" w:ascii="Times New Roman" w:hAnsi="Times New Roman"/>
              </w:rPr>
              <w:t>其他空间布局约束要求</w:t>
            </w:r>
          </w:p>
        </w:tc>
        <w:tc>
          <w:tcPr>
            <w:tcW w:w="465" w:type="pct"/>
            <w:tcBorders>
              <w:top w:val="single" w:color="auto" w:sz="4" w:space="0"/>
              <w:left w:val="single" w:color="auto" w:sz="4" w:space="0"/>
              <w:bottom w:val="single" w:color="000000" w:sz="4" w:space="0"/>
              <w:right w:val="single" w:color="auto" w:sz="4" w:space="0"/>
            </w:tcBorders>
            <w:shd w:val="clear" w:color="auto" w:fill="auto"/>
            <w:noWrap w:val="0"/>
            <w:vAlign w:val="center"/>
          </w:tcPr>
          <w:p w14:paraId="7BB1CBFA">
            <w:pPr>
              <w:snapToGrid w:val="0"/>
              <w:jc w:val="center"/>
              <w:rPr>
                <w:rFonts w:ascii="Times New Roman" w:hAnsi="Times New Roman"/>
              </w:rPr>
            </w:pPr>
            <w:r>
              <w:rPr>
                <w:rFonts w:ascii="Times New Roman" w:hAnsi="Times New Roman"/>
              </w:rPr>
              <w:t>7</w:t>
            </w:r>
          </w:p>
        </w:tc>
        <w:tc>
          <w:tcPr>
            <w:tcW w:w="3602" w:type="pct"/>
            <w:tcBorders>
              <w:top w:val="nil"/>
              <w:left w:val="nil"/>
              <w:bottom w:val="single" w:color="auto" w:sz="4" w:space="0"/>
              <w:right w:val="single" w:color="auto" w:sz="4" w:space="0"/>
            </w:tcBorders>
            <w:shd w:val="clear" w:color="000000" w:fill="FFFFFF"/>
            <w:noWrap w:val="0"/>
            <w:vAlign w:val="center"/>
          </w:tcPr>
          <w:p w14:paraId="11DE7F50">
            <w:pPr>
              <w:snapToGrid w:val="0"/>
              <w:rPr>
                <w:rFonts w:hint="eastAsia" w:ascii="Times New Roman" w:hAnsi="Times New Roman"/>
              </w:rPr>
            </w:pPr>
            <w:r>
              <w:rPr>
                <w:rFonts w:hint="eastAsia" w:ascii="Times New Roman" w:hAnsi="Times New Roman"/>
              </w:rPr>
              <w:t>一般生态空间中零散城镇村建设用地、永久基本农田、特殊用地等，按国土空间规划的要求开展相关活动和开发行为。</w:t>
            </w:r>
          </w:p>
        </w:tc>
      </w:tr>
      <w:tr w14:paraId="3653FFF5">
        <w:tblPrEx>
          <w:tblCellMar>
            <w:top w:w="0" w:type="dxa"/>
            <w:left w:w="108" w:type="dxa"/>
            <w:bottom w:w="0" w:type="dxa"/>
            <w:right w:w="108" w:type="dxa"/>
          </w:tblCellMar>
        </w:tblPrEx>
        <w:trPr>
          <w:trHeight w:val="369" w:hRule="atLeast"/>
        </w:trPr>
        <w:tc>
          <w:tcPr>
            <w:tcW w:w="465" w:type="pct"/>
            <w:vMerge w:val="restart"/>
            <w:tcBorders>
              <w:top w:val="nil"/>
              <w:left w:val="single" w:color="auto" w:sz="4" w:space="0"/>
              <w:bottom w:val="single" w:color="000000" w:sz="4" w:space="0"/>
              <w:right w:val="single" w:color="auto" w:sz="4" w:space="0"/>
            </w:tcBorders>
            <w:shd w:val="clear" w:color="auto" w:fill="auto"/>
            <w:noWrap w:val="0"/>
            <w:vAlign w:val="center"/>
          </w:tcPr>
          <w:p w14:paraId="782338B6">
            <w:pPr>
              <w:snapToGrid w:val="0"/>
              <w:rPr>
                <w:rFonts w:ascii="Times New Roman" w:hAnsi="Times New Roman"/>
              </w:rPr>
            </w:pPr>
            <w:r>
              <w:rPr>
                <w:rFonts w:ascii="Times New Roman" w:hAnsi="Times New Roman"/>
              </w:rPr>
              <w:t>污染物排放管控</w:t>
            </w:r>
          </w:p>
        </w:tc>
        <w:tc>
          <w:tcPr>
            <w:tcW w:w="465" w:type="pct"/>
            <w:tcBorders>
              <w:top w:val="nil"/>
              <w:left w:val="single" w:color="auto" w:sz="4" w:space="0"/>
              <w:bottom w:val="single" w:color="000000" w:sz="4" w:space="0"/>
              <w:right w:val="single" w:color="auto" w:sz="4" w:space="0"/>
            </w:tcBorders>
            <w:shd w:val="clear" w:color="000000" w:fill="FFFFFF"/>
            <w:noWrap w:val="0"/>
            <w:vAlign w:val="center"/>
          </w:tcPr>
          <w:p w14:paraId="439E027D">
            <w:pPr>
              <w:snapToGrid w:val="0"/>
              <w:jc w:val="center"/>
              <w:rPr>
                <w:rFonts w:ascii="Times New Roman" w:hAnsi="Times New Roman"/>
              </w:rPr>
            </w:pPr>
            <w:r>
              <w:rPr>
                <w:rFonts w:ascii="Times New Roman" w:hAnsi="Times New Roman"/>
              </w:rPr>
              <w:t>允许排放量要求</w:t>
            </w:r>
          </w:p>
        </w:tc>
        <w:tc>
          <w:tcPr>
            <w:tcW w:w="465" w:type="pct"/>
            <w:tcBorders>
              <w:top w:val="nil"/>
              <w:left w:val="single" w:color="auto" w:sz="4" w:space="0"/>
              <w:bottom w:val="single" w:color="000000" w:sz="4" w:space="0"/>
              <w:right w:val="single" w:color="auto" w:sz="4" w:space="0"/>
            </w:tcBorders>
            <w:shd w:val="clear" w:color="000000" w:fill="FFFFFF"/>
            <w:noWrap w:val="0"/>
            <w:vAlign w:val="center"/>
          </w:tcPr>
          <w:p w14:paraId="47D53BA9">
            <w:pPr>
              <w:snapToGrid w:val="0"/>
              <w:jc w:val="center"/>
              <w:rPr>
                <w:rFonts w:ascii="Times New Roman" w:hAnsi="Times New Roman"/>
              </w:rPr>
            </w:pPr>
            <w:r>
              <w:rPr>
                <w:rFonts w:ascii="Times New Roman" w:hAnsi="Times New Roman"/>
              </w:rPr>
              <w:t>8</w:t>
            </w:r>
          </w:p>
        </w:tc>
        <w:tc>
          <w:tcPr>
            <w:tcW w:w="3602" w:type="pct"/>
            <w:tcBorders>
              <w:top w:val="nil"/>
              <w:left w:val="nil"/>
              <w:bottom w:val="single" w:color="auto" w:sz="4" w:space="0"/>
              <w:right w:val="single" w:color="auto" w:sz="4" w:space="0"/>
            </w:tcBorders>
            <w:shd w:val="clear" w:color="000000" w:fill="FFFFFF"/>
            <w:noWrap w:val="0"/>
            <w:vAlign w:val="center"/>
          </w:tcPr>
          <w:p w14:paraId="0A4ADC27">
            <w:pPr>
              <w:snapToGrid w:val="0"/>
              <w:rPr>
                <w:rFonts w:ascii="Times New Roman" w:hAnsi="Times New Roman"/>
              </w:rPr>
            </w:pPr>
            <w:r>
              <w:rPr>
                <w:rFonts w:ascii="Times New Roman" w:hAnsi="Times New Roman"/>
              </w:rPr>
              <w:t>到2025年，赣州市全市化学需氧量、氨氮、氮氧化物、挥发性有机物重点工程减排量分别为13451吨、873吨、873吨、1518吨。“十五五”及以后执行省级下达的管控指标要求。</w:t>
            </w:r>
          </w:p>
        </w:tc>
      </w:tr>
      <w:tr w14:paraId="78DB6E52">
        <w:tblPrEx>
          <w:tblCellMar>
            <w:top w:w="0" w:type="dxa"/>
            <w:left w:w="108" w:type="dxa"/>
            <w:bottom w:w="0" w:type="dxa"/>
            <w:right w:w="108" w:type="dxa"/>
          </w:tblCellMar>
        </w:tblPrEx>
        <w:trPr>
          <w:trHeight w:val="117" w:hRule="atLeast"/>
        </w:trPr>
        <w:tc>
          <w:tcPr>
            <w:tcW w:w="465" w:type="pct"/>
            <w:vMerge w:val="continue"/>
            <w:tcBorders>
              <w:top w:val="nil"/>
              <w:left w:val="single" w:color="auto" w:sz="4" w:space="0"/>
              <w:bottom w:val="single" w:color="000000" w:sz="4" w:space="0"/>
              <w:right w:val="single" w:color="auto" w:sz="4" w:space="0"/>
            </w:tcBorders>
            <w:shd w:val="clear" w:color="auto" w:fill="auto"/>
            <w:noWrap w:val="0"/>
            <w:vAlign w:val="center"/>
          </w:tcPr>
          <w:p w14:paraId="286D26EC">
            <w:pPr>
              <w:snapToGrid w:val="0"/>
              <w:rPr>
                <w:rFonts w:ascii="Times New Roman" w:hAnsi="Times New Roman"/>
              </w:rPr>
            </w:pPr>
          </w:p>
        </w:tc>
        <w:tc>
          <w:tcPr>
            <w:tcW w:w="465" w:type="pct"/>
            <w:vMerge w:val="restart"/>
            <w:tcBorders>
              <w:top w:val="nil"/>
              <w:left w:val="single" w:color="auto" w:sz="4" w:space="0"/>
              <w:bottom w:val="single" w:color="000000" w:sz="4" w:space="0"/>
              <w:right w:val="single" w:color="auto" w:sz="4" w:space="0"/>
            </w:tcBorders>
            <w:shd w:val="clear" w:color="000000" w:fill="FFFFFF"/>
            <w:noWrap w:val="0"/>
            <w:vAlign w:val="center"/>
          </w:tcPr>
          <w:p w14:paraId="5CCB55C6">
            <w:pPr>
              <w:snapToGrid w:val="0"/>
              <w:jc w:val="center"/>
              <w:rPr>
                <w:rFonts w:ascii="Times New Roman" w:hAnsi="Times New Roman"/>
              </w:rPr>
            </w:pPr>
            <w:r>
              <w:rPr>
                <w:rFonts w:ascii="Times New Roman" w:hAnsi="Times New Roman"/>
              </w:rPr>
              <w:t>现有源提标升级改造</w:t>
            </w:r>
          </w:p>
        </w:tc>
        <w:tc>
          <w:tcPr>
            <w:tcW w:w="465" w:type="pct"/>
            <w:vMerge w:val="restart"/>
            <w:tcBorders>
              <w:top w:val="nil"/>
              <w:left w:val="single" w:color="auto" w:sz="4" w:space="0"/>
              <w:bottom w:val="single" w:color="000000" w:sz="4" w:space="0"/>
              <w:right w:val="single" w:color="auto" w:sz="4" w:space="0"/>
            </w:tcBorders>
            <w:shd w:val="clear" w:color="000000" w:fill="FFFFFF"/>
            <w:noWrap w:val="0"/>
            <w:vAlign w:val="center"/>
          </w:tcPr>
          <w:p w14:paraId="12E2CCA8">
            <w:pPr>
              <w:snapToGrid w:val="0"/>
              <w:jc w:val="center"/>
              <w:rPr>
                <w:rFonts w:ascii="Times New Roman" w:hAnsi="Times New Roman"/>
              </w:rPr>
            </w:pPr>
          </w:p>
          <w:p w14:paraId="5BAC4360">
            <w:pPr>
              <w:snapToGrid w:val="0"/>
              <w:jc w:val="center"/>
              <w:rPr>
                <w:rFonts w:ascii="Times New Roman" w:hAnsi="Times New Roman"/>
              </w:rPr>
            </w:pPr>
            <w:r>
              <w:rPr>
                <w:rFonts w:ascii="Times New Roman" w:hAnsi="Times New Roman"/>
              </w:rPr>
              <w:t>9</w:t>
            </w:r>
          </w:p>
        </w:tc>
        <w:tc>
          <w:tcPr>
            <w:tcW w:w="3602" w:type="pct"/>
            <w:tcBorders>
              <w:top w:val="nil"/>
              <w:left w:val="nil"/>
              <w:bottom w:val="single" w:color="auto" w:sz="4" w:space="0"/>
              <w:right w:val="single" w:color="auto" w:sz="4" w:space="0"/>
            </w:tcBorders>
            <w:shd w:val="clear" w:color="000000" w:fill="FFFFFF"/>
            <w:noWrap w:val="0"/>
            <w:vAlign w:val="center"/>
          </w:tcPr>
          <w:p w14:paraId="637F14A6">
            <w:pPr>
              <w:snapToGrid w:val="0"/>
              <w:rPr>
                <w:rFonts w:ascii="Times New Roman" w:hAnsi="Times New Roman"/>
              </w:rPr>
            </w:pPr>
            <w:r>
              <w:rPr>
                <w:rFonts w:hint="eastAsia" w:ascii="Times New Roman" w:hAnsi="Times New Roman"/>
              </w:rPr>
              <w:t>/</w:t>
            </w:r>
          </w:p>
        </w:tc>
      </w:tr>
      <w:tr w14:paraId="5CF05472">
        <w:tblPrEx>
          <w:tblCellMar>
            <w:top w:w="0" w:type="dxa"/>
            <w:left w:w="108" w:type="dxa"/>
            <w:bottom w:w="0" w:type="dxa"/>
            <w:right w:w="108" w:type="dxa"/>
          </w:tblCellMar>
        </w:tblPrEx>
        <w:trPr>
          <w:trHeight w:val="384" w:hRule="atLeast"/>
        </w:trPr>
        <w:tc>
          <w:tcPr>
            <w:tcW w:w="465" w:type="pct"/>
            <w:vMerge w:val="continue"/>
            <w:tcBorders>
              <w:top w:val="nil"/>
              <w:left w:val="single" w:color="auto" w:sz="4" w:space="0"/>
              <w:bottom w:val="single" w:color="000000" w:sz="4" w:space="0"/>
              <w:right w:val="single" w:color="auto" w:sz="4" w:space="0"/>
            </w:tcBorders>
            <w:shd w:val="clear" w:color="auto" w:fill="auto"/>
            <w:noWrap w:val="0"/>
            <w:vAlign w:val="center"/>
          </w:tcPr>
          <w:p w14:paraId="7095D395">
            <w:pPr>
              <w:snapToGrid w:val="0"/>
              <w:rPr>
                <w:rFonts w:ascii="Times New Roman" w:hAnsi="Times New Roman"/>
              </w:rPr>
            </w:pPr>
          </w:p>
        </w:tc>
        <w:tc>
          <w:tcPr>
            <w:tcW w:w="465" w:type="pct"/>
            <w:vMerge w:val="continue"/>
            <w:tcBorders>
              <w:top w:val="nil"/>
              <w:left w:val="single" w:color="auto" w:sz="4" w:space="0"/>
              <w:bottom w:val="single" w:color="000000" w:sz="4" w:space="0"/>
              <w:right w:val="single" w:color="auto" w:sz="4" w:space="0"/>
            </w:tcBorders>
            <w:shd w:val="clear" w:color="auto" w:fill="auto"/>
            <w:noWrap w:val="0"/>
            <w:vAlign w:val="center"/>
          </w:tcPr>
          <w:p w14:paraId="441BAA6D">
            <w:pPr>
              <w:snapToGrid w:val="0"/>
              <w:rPr>
                <w:rFonts w:ascii="Times New Roman" w:hAnsi="Times New Roman"/>
              </w:rPr>
            </w:pPr>
          </w:p>
        </w:tc>
        <w:tc>
          <w:tcPr>
            <w:tcW w:w="465" w:type="pct"/>
            <w:vMerge w:val="continue"/>
            <w:tcBorders>
              <w:top w:val="nil"/>
              <w:left w:val="single" w:color="auto" w:sz="4" w:space="0"/>
              <w:bottom w:val="single" w:color="000000" w:sz="4" w:space="0"/>
              <w:right w:val="single" w:color="auto" w:sz="4" w:space="0"/>
            </w:tcBorders>
            <w:shd w:val="clear" w:color="auto" w:fill="auto"/>
            <w:noWrap w:val="0"/>
            <w:vAlign w:val="center"/>
          </w:tcPr>
          <w:p w14:paraId="1DB8618A">
            <w:pPr>
              <w:snapToGrid w:val="0"/>
              <w:jc w:val="center"/>
              <w:rPr>
                <w:rFonts w:ascii="Times New Roman" w:hAnsi="Times New Roman"/>
              </w:rPr>
            </w:pPr>
          </w:p>
        </w:tc>
        <w:tc>
          <w:tcPr>
            <w:tcW w:w="3602" w:type="pct"/>
            <w:tcBorders>
              <w:top w:val="nil"/>
              <w:left w:val="nil"/>
              <w:bottom w:val="single" w:color="auto" w:sz="4" w:space="0"/>
              <w:right w:val="single" w:color="auto" w:sz="4" w:space="0"/>
            </w:tcBorders>
            <w:shd w:val="clear" w:color="000000" w:fill="FFFFFF"/>
            <w:noWrap w:val="0"/>
            <w:vAlign w:val="center"/>
          </w:tcPr>
          <w:p w14:paraId="5FA74287">
            <w:pPr>
              <w:snapToGrid w:val="0"/>
              <w:rPr>
                <w:rFonts w:ascii="Times New Roman" w:hAnsi="Times New Roman"/>
              </w:rPr>
            </w:pPr>
            <w:r>
              <w:rPr>
                <w:rFonts w:ascii="Times New Roman" w:hAnsi="Times New Roman"/>
              </w:rPr>
              <w:t>依法严把准入关，县级及以上城市建成区不再审批35蒸吨/小时及以下燃煤锅炉。</w:t>
            </w:r>
          </w:p>
        </w:tc>
      </w:tr>
      <w:tr w14:paraId="68395FB4">
        <w:tblPrEx>
          <w:tblCellMar>
            <w:top w:w="0" w:type="dxa"/>
            <w:left w:w="108" w:type="dxa"/>
            <w:bottom w:w="0" w:type="dxa"/>
            <w:right w:w="108" w:type="dxa"/>
          </w:tblCellMar>
        </w:tblPrEx>
        <w:trPr>
          <w:trHeight w:val="267" w:hRule="atLeast"/>
        </w:trPr>
        <w:tc>
          <w:tcPr>
            <w:tcW w:w="465" w:type="pct"/>
            <w:vMerge w:val="restart"/>
            <w:tcBorders>
              <w:top w:val="nil"/>
              <w:left w:val="single" w:color="auto" w:sz="4" w:space="0"/>
              <w:right w:val="single" w:color="auto" w:sz="4" w:space="0"/>
            </w:tcBorders>
            <w:shd w:val="clear" w:color="auto" w:fill="auto"/>
            <w:noWrap w:val="0"/>
            <w:vAlign w:val="center"/>
          </w:tcPr>
          <w:p w14:paraId="0024E5C6">
            <w:pPr>
              <w:snapToGrid w:val="0"/>
              <w:rPr>
                <w:rFonts w:ascii="Times New Roman" w:hAnsi="Times New Roman"/>
              </w:rPr>
            </w:pPr>
            <w:r>
              <w:rPr>
                <w:rFonts w:ascii="Times New Roman" w:hAnsi="Times New Roman"/>
              </w:rPr>
              <w:t>环境风险防控</w:t>
            </w:r>
          </w:p>
        </w:tc>
        <w:tc>
          <w:tcPr>
            <w:tcW w:w="465" w:type="pct"/>
            <w:vMerge w:val="restart"/>
            <w:tcBorders>
              <w:top w:val="nil"/>
              <w:left w:val="nil"/>
              <w:right w:val="single" w:color="auto" w:sz="4" w:space="0"/>
            </w:tcBorders>
            <w:shd w:val="clear" w:color="000000" w:fill="FFFFFF"/>
            <w:noWrap w:val="0"/>
            <w:vAlign w:val="center"/>
          </w:tcPr>
          <w:p w14:paraId="11AFDD8B">
            <w:pPr>
              <w:snapToGrid w:val="0"/>
              <w:jc w:val="center"/>
              <w:rPr>
                <w:rFonts w:ascii="Times New Roman" w:hAnsi="Times New Roman"/>
              </w:rPr>
            </w:pPr>
            <w:r>
              <w:rPr>
                <w:rFonts w:ascii="Times New Roman" w:hAnsi="Times New Roman"/>
              </w:rPr>
              <w:t>联防联控要求</w:t>
            </w:r>
          </w:p>
        </w:tc>
        <w:tc>
          <w:tcPr>
            <w:tcW w:w="465" w:type="pct"/>
            <w:vMerge w:val="restart"/>
            <w:tcBorders>
              <w:top w:val="nil"/>
              <w:left w:val="nil"/>
              <w:right w:val="single" w:color="auto" w:sz="4" w:space="0"/>
            </w:tcBorders>
            <w:shd w:val="clear" w:color="000000" w:fill="FFFFFF"/>
            <w:noWrap w:val="0"/>
            <w:vAlign w:val="center"/>
          </w:tcPr>
          <w:p w14:paraId="2BAE5709">
            <w:pPr>
              <w:snapToGrid w:val="0"/>
              <w:jc w:val="center"/>
              <w:rPr>
                <w:rFonts w:ascii="Times New Roman" w:hAnsi="Times New Roman"/>
              </w:rPr>
            </w:pPr>
          </w:p>
          <w:p w14:paraId="711E6C0C">
            <w:pPr>
              <w:snapToGrid w:val="0"/>
              <w:jc w:val="center"/>
              <w:rPr>
                <w:rFonts w:ascii="Times New Roman" w:hAnsi="Times New Roman"/>
              </w:rPr>
            </w:pPr>
            <w:r>
              <w:rPr>
                <w:rFonts w:ascii="Times New Roman" w:hAnsi="Times New Roman"/>
              </w:rPr>
              <w:t>10</w:t>
            </w:r>
          </w:p>
        </w:tc>
        <w:tc>
          <w:tcPr>
            <w:tcW w:w="3602" w:type="pct"/>
            <w:tcBorders>
              <w:top w:val="nil"/>
              <w:left w:val="nil"/>
              <w:bottom w:val="single" w:color="auto" w:sz="4" w:space="0"/>
              <w:right w:val="single" w:color="auto" w:sz="4" w:space="0"/>
            </w:tcBorders>
            <w:shd w:val="clear" w:color="000000" w:fill="FFFFFF"/>
            <w:noWrap w:val="0"/>
            <w:vAlign w:val="center"/>
          </w:tcPr>
          <w:p w14:paraId="3BB789E4">
            <w:pPr>
              <w:snapToGrid w:val="0"/>
              <w:rPr>
                <w:rFonts w:ascii="Times New Roman" w:hAnsi="Times New Roman"/>
              </w:rPr>
            </w:pPr>
            <w:r>
              <w:rPr>
                <w:rFonts w:ascii="Times New Roman" w:hAnsi="Times New Roman"/>
              </w:rPr>
              <w:t>1、积极参与和龙岩市区域大气污染防治联防联控合作及和广东省跨界河流水污染联防联控协作工作，推动省界生态环境特征相似区域环境管控要求协调统一。</w:t>
            </w:r>
          </w:p>
        </w:tc>
      </w:tr>
      <w:tr w14:paraId="6BEE350E">
        <w:tblPrEx>
          <w:tblCellMar>
            <w:top w:w="0" w:type="dxa"/>
            <w:left w:w="108" w:type="dxa"/>
            <w:bottom w:w="0" w:type="dxa"/>
            <w:right w:w="108" w:type="dxa"/>
          </w:tblCellMar>
        </w:tblPrEx>
        <w:trPr>
          <w:trHeight w:val="165" w:hRule="atLeast"/>
        </w:trPr>
        <w:tc>
          <w:tcPr>
            <w:tcW w:w="465" w:type="pct"/>
            <w:vMerge w:val="continue"/>
            <w:tcBorders>
              <w:left w:val="single" w:color="auto" w:sz="4" w:space="0"/>
              <w:right w:val="single" w:color="auto" w:sz="4" w:space="0"/>
            </w:tcBorders>
            <w:shd w:val="clear" w:color="auto" w:fill="auto"/>
            <w:noWrap w:val="0"/>
            <w:vAlign w:val="center"/>
          </w:tcPr>
          <w:p w14:paraId="0DA8F015">
            <w:pPr>
              <w:snapToGrid w:val="0"/>
              <w:rPr>
                <w:rFonts w:ascii="Times New Roman" w:hAnsi="Times New Roman"/>
              </w:rPr>
            </w:pPr>
          </w:p>
        </w:tc>
        <w:tc>
          <w:tcPr>
            <w:tcW w:w="465" w:type="pct"/>
            <w:vMerge w:val="continue"/>
            <w:tcBorders>
              <w:left w:val="nil"/>
              <w:right w:val="single" w:color="auto" w:sz="4" w:space="0"/>
            </w:tcBorders>
            <w:shd w:val="clear" w:color="000000" w:fill="FFFFFF"/>
            <w:noWrap w:val="0"/>
            <w:vAlign w:val="center"/>
          </w:tcPr>
          <w:p w14:paraId="16217684">
            <w:pPr>
              <w:snapToGrid w:val="0"/>
              <w:rPr>
                <w:rFonts w:ascii="Times New Roman" w:hAnsi="Times New Roman"/>
              </w:rPr>
            </w:pPr>
          </w:p>
        </w:tc>
        <w:tc>
          <w:tcPr>
            <w:tcW w:w="465" w:type="pct"/>
            <w:vMerge w:val="continue"/>
            <w:tcBorders>
              <w:left w:val="nil"/>
              <w:right w:val="single" w:color="auto" w:sz="4" w:space="0"/>
            </w:tcBorders>
            <w:shd w:val="clear" w:color="000000" w:fill="FFFFFF"/>
            <w:noWrap w:val="0"/>
            <w:vAlign w:val="center"/>
          </w:tcPr>
          <w:p w14:paraId="43BB6639">
            <w:pPr>
              <w:snapToGrid w:val="0"/>
              <w:jc w:val="center"/>
              <w:rPr>
                <w:rFonts w:ascii="Times New Roman" w:hAnsi="Times New Roman"/>
              </w:rPr>
            </w:pPr>
          </w:p>
        </w:tc>
        <w:tc>
          <w:tcPr>
            <w:tcW w:w="3602" w:type="pct"/>
            <w:tcBorders>
              <w:top w:val="nil"/>
              <w:left w:val="nil"/>
              <w:bottom w:val="single" w:color="auto" w:sz="4" w:space="0"/>
              <w:right w:val="single" w:color="auto" w:sz="4" w:space="0"/>
            </w:tcBorders>
            <w:shd w:val="clear" w:color="000000" w:fill="FFFFFF"/>
            <w:noWrap w:val="0"/>
            <w:vAlign w:val="center"/>
          </w:tcPr>
          <w:p w14:paraId="2F4C0B1B">
            <w:pPr>
              <w:snapToGrid w:val="0"/>
              <w:rPr>
                <w:rFonts w:ascii="Times New Roman" w:hAnsi="Times New Roman"/>
              </w:rPr>
            </w:pPr>
            <w:r>
              <w:rPr>
                <w:rFonts w:ascii="Times New Roman" w:hAnsi="Times New Roman"/>
              </w:rPr>
              <w:t>2、</w:t>
            </w:r>
            <w:r>
              <w:rPr>
                <w:rFonts w:hint="eastAsia" w:ascii="Times New Roman" w:hAnsi="Times New Roman"/>
              </w:rPr>
              <w:t>严格落实重度污染区风险管控要求，</w:t>
            </w:r>
            <w:r>
              <w:rPr>
                <w:rFonts w:ascii="Times New Roman" w:hAnsi="Times New Roman"/>
              </w:rPr>
              <w:t>严格管控</w:t>
            </w:r>
            <w:r>
              <w:rPr>
                <w:rFonts w:hint="eastAsia" w:ascii="Times New Roman" w:hAnsi="Times New Roman"/>
              </w:rPr>
              <w:t>区内禁止</w:t>
            </w:r>
            <w:r>
              <w:rPr>
                <w:rFonts w:ascii="Times New Roman" w:hAnsi="Times New Roman"/>
              </w:rPr>
              <w:t>种植食用农产品。</w:t>
            </w:r>
          </w:p>
        </w:tc>
      </w:tr>
      <w:tr w14:paraId="70841406">
        <w:tblPrEx>
          <w:tblCellMar>
            <w:top w:w="0" w:type="dxa"/>
            <w:left w:w="108" w:type="dxa"/>
            <w:bottom w:w="0" w:type="dxa"/>
            <w:right w:w="108" w:type="dxa"/>
          </w:tblCellMar>
        </w:tblPrEx>
        <w:trPr>
          <w:trHeight w:val="318" w:hRule="atLeast"/>
        </w:trPr>
        <w:tc>
          <w:tcPr>
            <w:tcW w:w="465" w:type="pct"/>
            <w:vMerge w:val="continue"/>
            <w:tcBorders>
              <w:left w:val="single" w:color="auto" w:sz="4" w:space="0"/>
              <w:right w:val="single" w:color="auto" w:sz="4" w:space="0"/>
            </w:tcBorders>
            <w:shd w:val="clear" w:color="auto" w:fill="auto"/>
            <w:noWrap w:val="0"/>
            <w:vAlign w:val="center"/>
          </w:tcPr>
          <w:p w14:paraId="1C567BCB">
            <w:pPr>
              <w:snapToGrid w:val="0"/>
              <w:rPr>
                <w:rFonts w:ascii="Times New Roman" w:hAnsi="Times New Roman"/>
              </w:rPr>
            </w:pPr>
          </w:p>
        </w:tc>
        <w:tc>
          <w:tcPr>
            <w:tcW w:w="465" w:type="pct"/>
            <w:vMerge w:val="continue"/>
            <w:tcBorders>
              <w:left w:val="nil"/>
              <w:right w:val="single" w:color="auto" w:sz="4" w:space="0"/>
            </w:tcBorders>
            <w:shd w:val="clear" w:color="000000" w:fill="FFFFFF"/>
            <w:noWrap w:val="0"/>
            <w:vAlign w:val="center"/>
          </w:tcPr>
          <w:p w14:paraId="3428D9B8">
            <w:pPr>
              <w:snapToGrid w:val="0"/>
              <w:rPr>
                <w:rFonts w:ascii="Times New Roman" w:hAnsi="Times New Roman"/>
              </w:rPr>
            </w:pPr>
          </w:p>
        </w:tc>
        <w:tc>
          <w:tcPr>
            <w:tcW w:w="465" w:type="pct"/>
            <w:vMerge w:val="continue"/>
            <w:tcBorders>
              <w:left w:val="nil"/>
              <w:right w:val="single" w:color="auto" w:sz="4" w:space="0"/>
            </w:tcBorders>
            <w:shd w:val="clear" w:color="000000" w:fill="FFFFFF"/>
            <w:noWrap w:val="0"/>
            <w:vAlign w:val="center"/>
          </w:tcPr>
          <w:p w14:paraId="7658CC86">
            <w:pPr>
              <w:snapToGrid w:val="0"/>
              <w:jc w:val="center"/>
              <w:rPr>
                <w:rFonts w:ascii="Times New Roman" w:hAnsi="Times New Roman"/>
              </w:rPr>
            </w:pPr>
          </w:p>
        </w:tc>
        <w:tc>
          <w:tcPr>
            <w:tcW w:w="3602" w:type="pct"/>
            <w:tcBorders>
              <w:top w:val="nil"/>
              <w:left w:val="nil"/>
              <w:bottom w:val="single" w:color="auto" w:sz="4" w:space="0"/>
              <w:right w:val="single" w:color="auto" w:sz="4" w:space="0"/>
            </w:tcBorders>
            <w:shd w:val="clear" w:color="000000" w:fill="FFFFFF"/>
            <w:noWrap w:val="0"/>
            <w:vAlign w:val="center"/>
          </w:tcPr>
          <w:p w14:paraId="7E4D5A4E">
            <w:pPr>
              <w:snapToGrid w:val="0"/>
              <w:rPr>
                <w:rFonts w:ascii="Times New Roman" w:hAnsi="Times New Roman"/>
              </w:rPr>
            </w:pPr>
            <w:r>
              <w:rPr>
                <w:rFonts w:ascii="Times New Roman" w:hAnsi="Times New Roman"/>
              </w:rPr>
              <w:t>3、纳入疑似污染地块的，应当依法开展土壤污染环境质量状况调查，确定为污染地块后，经治理与修复，并符合相应规划用地土壤环境质量标准要求后，方可进入用地程序。</w:t>
            </w:r>
          </w:p>
        </w:tc>
      </w:tr>
      <w:tr w14:paraId="485A000C">
        <w:tblPrEx>
          <w:tblCellMar>
            <w:top w:w="0" w:type="dxa"/>
            <w:left w:w="108" w:type="dxa"/>
            <w:bottom w:w="0" w:type="dxa"/>
            <w:right w:w="108" w:type="dxa"/>
          </w:tblCellMar>
        </w:tblPrEx>
        <w:trPr>
          <w:trHeight w:val="126" w:hRule="atLeast"/>
        </w:trPr>
        <w:tc>
          <w:tcPr>
            <w:tcW w:w="465" w:type="pct"/>
            <w:vMerge w:val="continue"/>
            <w:tcBorders>
              <w:left w:val="single" w:color="auto" w:sz="4" w:space="0"/>
              <w:right w:val="single" w:color="auto" w:sz="4" w:space="0"/>
            </w:tcBorders>
            <w:shd w:val="clear" w:color="auto" w:fill="auto"/>
            <w:noWrap w:val="0"/>
            <w:vAlign w:val="center"/>
          </w:tcPr>
          <w:p w14:paraId="1A10BF8B">
            <w:pPr>
              <w:snapToGrid w:val="0"/>
              <w:rPr>
                <w:rFonts w:ascii="Times New Roman" w:hAnsi="Times New Roman"/>
              </w:rPr>
            </w:pPr>
          </w:p>
        </w:tc>
        <w:tc>
          <w:tcPr>
            <w:tcW w:w="465" w:type="pct"/>
            <w:vMerge w:val="continue"/>
            <w:tcBorders>
              <w:left w:val="nil"/>
              <w:right w:val="single" w:color="auto" w:sz="4" w:space="0"/>
            </w:tcBorders>
            <w:shd w:val="clear" w:color="000000" w:fill="FFFFFF"/>
            <w:noWrap w:val="0"/>
            <w:vAlign w:val="center"/>
          </w:tcPr>
          <w:p w14:paraId="48D1D0A0">
            <w:pPr>
              <w:snapToGrid w:val="0"/>
              <w:rPr>
                <w:rFonts w:ascii="Times New Roman" w:hAnsi="Times New Roman"/>
              </w:rPr>
            </w:pPr>
          </w:p>
        </w:tc>
        <w:tc>
          <w:tcPr>
            <w:tcW w:w="465" w:type="pct"/>
            <w:vMerge w:val="continue"/>
            <w:tcBorders>
              <w:left w:val="nil"/>
              <w:right w:val="single" w:color="auto" w:sz="4" w:space="0"/>
            </w:tcBorders>
            <w:shd w:val="clear" w:color="000000" w:fill="FFFFFF"/>
            <w:noWrap w:val="0"/>
            <w:vAlign w:val="center"/>
          </w:tcPr>
          <w:p w14:paraId="5749DDA1">
            <w:pPr>
              <w:snapToGrid w:val="0"/>
              <w:jc w:val="center"/>
              <w:rPr>
                <w:rFonts w:ascii="Times New Roman" w:hAnsi="Times New Roman"/>
              </w:rPr>
            </w:pPr>
          </w:p>
        </w:tc>
        <w:tc>
          <w:tcPr>
            <w:tcW w:w="3602" w:type="pct"/>
            <w:tcBorders>
              <w:top w:val="nil"/>
              <w:left w:val="nil"/>
              <w:bottom w:val="single" w:color="auto" w:sz="4" w:space="0"/>
              <w:right w:val="single" w:color="auto" w:sz="4" w:space="0"/>
            </w:tcBorders>
            <w:shd w:val="clear" w:color="000000" w:fill="FFFFFF"/>
            <w:noWrap w:val="0"/>
            <w:vAlign w:val="center"/>
          </w:tcPr>
          <w:p w14:paraId="7CEBF092">
            <w:pPr>
              <w:snapToGrid w:val="0"/>
              <w:rPr>
                <w:rFonts w:ascii="Times New Roman" w:hAnsi="Times New Roman"/>
              </w:rPr>
            </w:pPr>
            <w:r>
              <w:rPr>
                <w:rFonts w:ascii="Times New Roman" w:hAnsi="Times New Roman"/>
              </w:rPr>
              <w:t>4、工业园区应建立三级环境风险防控体系。</w:t>
            </w:r>
          </w:p>
        </w:tc>
      </w:tr>
      <w:tr w14:paraId="08D77149">
        <w:tblPrEx>
          <w:tblCellMar>
            <w:top w:w="0" w:type="dxa"/>
            <w:left w:w="108" w:type="dxa"/>
            <w:bottom w:w="0" w:type="dxa"/>
            <w:right w:w="108" w:type="dxa"/>
          </w:tblCellMar>
        </w:tblPrEx>
        <w:trPr>
          <w:trHeight w:val="165" w:hRule="atLeast"/>
        </w:trPr>
        <w:tc>
          <w:tcPr>
            <w:tcW w:w="465" w:type="pct"/>
            <w:vMerge w:val="continue"/>
            <w:tcBorders>
              <w:left w:val="single" w:color="auto" w:sz="4" w:space="0"/>
              <w:right w:val="single" w:color="auto" w:sz="4" w:space="0"/>
            </w:tcBorders>
            <w:shd w:val="clear" w:color="auto" w:fill="auto"/>
            <w:noWrap w:val="0"/>
            <w:vAlign w:val="center"/>
          </w:tcPr>
          <w:p w14:paraId="02930110">
            <w:pPr>
              <w:snapToGrid w:val="0"/>
              <w:rPr>
                <w:rFonts w:ascii="Times New Roman" w:hAnsi="Times New Roman"/>
              </w:rPr>
            </w:pPr>
          </w:p>
        </w:tc>
        <w:tc>
          <w:tcPr>
            <w:tcW w:w="465" w:type="pct"/>
            <w:vMerge w:val="continue"/>
            <w:tcBorders>
              <w:left w:val="nil"/>
              <w:right w:val="single" w:color="auto" w:sz="4" w:space="0"/>
            </w:tcBorders>
            <w:shd w:val="clear" w:color="000000" w:fill="FFFFFF"/>
            <w:noWrap w:val="0"/>
            <w:vAlign w:val="center"/>
          </w:tcPr>
          <w:p w14:paraId="5E12E61D">
            <w:pPr>
              <w:snapToGrid w:val="0"/>
              <w:rPr>
                <w:rFonts w:ascii="Times New Roman" w:hAnsi="Times New Roman"/>
              </w:rPr>
            </w:pPr>
          </w:p>
        </w:tc>
        <w:tc>
          <w:tcPr>
            <w:tcW w:w="465" w:type="pct"/>
            <w:vMerge w:val="continue"/>
            <w:tcBorders>
              <w:left w:val="nil"/>
              <w:right w:val="single" w:color="auto" w:sz="4" w:space="0"/>
            </w:tcBorders>
            <w:shd w:val="clear" w:color="000000" w:fill="FFFFFF"/>
            <w:noWrap w:val="0"/>
            <w:vAlign w:val="center"/>
          </w:tcPr>
          <w:p w14:paraId="422AA05B">
            <w:pPr>
              <w:snapToGrid w:val="0"/>
              <w:jc w:val="center"/>
              <w:rPr>
                <w:rFonts w:ascii="Times New Roman" w:hAnsi="Times New Roman"/>
              </w:rPr>
            </w:pPr>
          </w:p>
        </w:tc>
        <w:tc>
          <w:tcPr>
            <w:tcW w:w="3602" w:type="pct"/>
            <w:tcBorders>
              <w:top w:val="nil"/>
              <w:left w:val="nil"/>
              <w:bottom w:val="single" w:color="auto" w:sz="4" w:space="0"/>
              <w:right w:val="single" w:color="auto" w:sz="4" w:space="0"/>
            </w:tcBorders>
            <w:shd w:val="clear" w:color="000000" w:fill="FFFFFF"/>
            <w:noWrap w:val="0"/>
            <w:vAlign w:val="center"/>
          </w:tcPr>
          <w:p w14:paraId="1EDB9A4A">
            <w:pPr>
              <w:snapToGrid w:val="0"/>
              <w:rPr>
                <w:rFonts w:ascii="Times New Roman" w:hAnsi="Times New Roman"/>
              </w:rPr>
            </w:pPr>
            <w:r>
              <w:rPr>
                <w:rFonts w:ascii="Times New Roman" w:hAnsi="Times New Roman"/>
              </w:rPr>
              <w:t>5、紧邻居住、科教、医院等环境敏感点的工业用地，禁止规划环境风险等级高的建设项目。</w:t>
            </w:r>
          </w:p>
        </w:tc>
      </w:tr>
      <w:tr w14:paraId="143E6FC9">
        <w:tblPrEx>
          <w:tblCellMar>
            <w:top w:w="0" w:type="dxa"/>
            <w:left w:w="108" w:type="dxa"/>
            <w:bottom w:w="0" w:type="dxa"/>
            <w:right w:w="108" w:type="dxa"/>
          </w:tblCellMar>
        </w:tblPrEx>
        <w:trPr>
          <w:trHeight w:val="522" w:hRule="atLeast"/>
        </w:trPr>
        <w:tc>
          <w:tcPr>
            <w:tcW w:w="465" w:type="pct"/>
            <w:vMerge w:val="continue"/>
            <w:tcBorders>
              <w:left w:val="single" w:color="auto" w:sz="4" w:space="0"/>
              <w:bottom w:val="single" w:color="auto" w:sz="4" w:space="0"/>
              <w:right w:val="single" w:color="auto" w:sz="4" w:space="0"/>
            </w:tcBorders>
            <w:shd w:val="clear" w:color="auto" w:fill="auto"/>
            <w:noWrap w:val="0"/>
            <w:vAlign w:val="center"/>
          </w:tcPr>
          <w:p w14:paraId="2CD6C608">
            <w:pPr>
              <w:snapToGrid w:val="0"/>
              <w:rPr>
                <w:rFonts w:ascii="Times New Roman" w:hAnsi="Times New Roman"/>
              </w:rPr>
            </w:pPr>
          </w:p>
        </w:tc>
        <w:tc>
          <w:tcPr>
            <w:tcW w:w="465" w:type="pct"/>
            <w:vMerge w:val="continue"/>
            <w:tcBorders>
              <w:left w:val="nil"/>
              <w:bottom w:val="single" w:color="auto" w:sz="4" w:space="0"/>
              <w:right w:val="single" w:color="auto" w:sz="4" w:space="0"/>
            </w:tcBorders>
            <w:shd w:val="clear" w:color="000000" w:fill="FFFFFF"/>
            <w:noWrap w:val="0"/>
            <w:vAlign w:val="center"/>
          </w:tcPr>
          <w:p w14:paraId="093C8738">
            <w:pPr>
              <w:snapToGrid w:val="0"/>
              <w:rPr>
                <w:rFonts w:ascii="Times New Roman" w:hAnsi="Times New Roman"/>
              </w:rPr>
            </w:pPr>
          </w:p>
        </w:tc>
        <w:tc>
          <w:tcPr>
            <w:tcW w:w="465" w:type="pct"/>
            <w:vMerge w:val="continue"/>
            <w:tcBorders>
              <w:left w:val="nil"/>
              <w:bottom w:val="single" w:color="auto" w:sz="4" w:space="0"/>
              <w:right w:val="single" w:color="auto" w:sz="4" w:space="0"/>
            </w:tcBorders>
            <w:shd w:val="clear" w:color="000000" w:fill="FFFFFF"/>
            <w:noWrap w:val="0"/>
            <w:vAlign w:val="center"/>
          </w:tcPr>
          <w:p w14:paraId="3B024DE8">
            <w:pPr>
              <w:snapToGrid w:val="0"/>
              <w:jc w:val="center"/>
              <w:rPr>
                <w:rFonts w:ascii="Times New Roman" w:hAnsi="Times New Roman"/>
              </w:rPr>
            </w:pPr>
          </w:p>
        </w:tc>
        <w:tc>
          <w:tcPr>
            <w:tcW w:w="3602" w:type="pct"/>
            <w:tcBorders>
              <w:top w:val="nil"/>
              <w:left w:val="nil"/>
              <w:bottom w:val="single" w:color="auto" w:sz="4" w:space="0"/>
              <w:right w:val="single" w:color="auto" w:sz="4" w:space="0"/>
            </w:tcBorders>
            <w:shd w:val="clear" w:color="000000" w:fill="FFFFFF"/>
            <w:noWrap w:val="0"/>
            <w:vAlign w:val="center"/>
          </w:tcPr>
          <w:p w14:paraId="6A4A5329">
            <w:pPr>
              <w:snapToGrid w:val="0"/>
              <w:rPr>
                <w:rFonts w:ascii="Times New Roman" w:hAnsi="Times New Roman"/>
              </w:rPr>
            </w:pPr>
            <w:r>
              <w:rPr>
                <w:rFonts w:ascii="Times New Roman" w:hAnsi="Times New Roman"/>
              </w:rPr>
              <w:t>6、生产、存储危险化学品及产生大量废水的企业，应配套有效措施，防止因渗漏污染地下水、土壤，以及因事故废水直排污染地表水体。产生、利用或处置固体废物（含危险废物）的企业，在贮存、转移、利用、处置固体废物（含危险废物）过程中，应配套防扬散、防流失、防渗漏及其他防止污染环境的措施。</w:t>
            </w:r>
          </w:p>
        </w:tc>
      </w:tr>
      <w:tr w14:paraId="094C2F1C">
        <w:tblPrEx>
          <w:tblCellMar>
            <w:top w:w="0" w:type="dxa"/>
            <w:left w:w="108" w:type="dxa"/>
            <w:bottom w:w="0" w:type="dxa"/>
            <w:right w:w="108" w:type="dxa"/>
          </w:tblCellMar>
        </w:tblPrEx>
        <w:trPr>
          <w:trHeight w:val="126" w:hRule="atLeast"/>
        </w:trPr>
        <w:tc>
          <w:tcPr>
            <w:tcW w:w="465" w:type="pct"/>
            <w:vMerge w:val="restart"/>
            <w:tcBorders>
              <w:top w:val="nil"/>
              <w:left w:val="single" w:color="auto" w:sz="4" w:space="0"/>
              <w:bottom w:val="single" w:color="000000" w:sz="4" w:space="0"/>
              <w:right w:val="single" w:color="auto" w:sz="4" w:space="0"/>
            </w:tcBorders>
            <w:shd w:val="clear" w:color="auto" w:fill="auto"/>
            <w:noWrap w:val="0"/>
            <w:vAlign w:val="center"/>
          </w:tcPr>
          <w:p w14:paraId="3107E633">
            <w:pPr>
              <w:snapToGrid w:val="0"/>
              <w:rPr>
                <w:rFonts w:ascii="Times New Roman" w:hAnsi="Times New Roman"/>
              </w:rPr>
            </w:pPr>
            <w:r>
              <w:rPr>
                <w:rFonts w:ascii="Times New Roman" w:hAnsi="Times New Roman"/>
              </w:rPr>
              <w:t>资源利用效率要求</w:t>
            </w:r>
          </w:p>
        </w:tc>
        <w:tc>
          <w:tcPr>
            <w:tcW w:w="465" w:type="pct"/>
            <w:vMerge w:val="restart"/>
            <w:tcBorders>
              <w:top w:val="nil"/>
              <w:left w:val="nil"/>
              <w:right w:val="single" w:color="auto" w:sz="4" w:space="0"/>
            </w:tcBorders>
            <w:shd w:val="clear" w:color="000000" w:fill="FFFFFF"/>
            <w:noWrap w:val="0"/>
            <w:vAlign w:val="center"/>
          </w:tcPr>
          <w:p w14:paraId="18C8F41D">
            <w:pPr>
              <w:snapToGrid w:val="0"/>
              <w:jc w:val="center"/>
              <w:rPr>
                <w:rFonts w:ascii="Times New Roman" w:hAnsi="Times New Roman"/>
              </w:rPr>
            </w:pPr>
            <w:r>
              <w:rPr>
                <w:rFonts w:ascii="Times New Roman" w:hAnsi="Times New Roman"/>
              </w:rPr>
              <w:t>水资源利用总量要求</w:t>
            </w:r>
          </w:p>
        </w:tc>
        <w:tc>
          <w:tcPr>
            <w:tcW w:w="465" w:type="pct"/>
            <w:vMerge w:val="restart"/>
            <w:tcBorders>
              <w:top w:val="nil"/>
              <w:left w:val="nil"/>
              <w:right w:val="single" w:color="auto" w:sz="4" w:space="0"/>
            </w:tcBorders>
            <w:shd w:val="clear" w:color="000000" w:fill="FFFFFF"/>
            <w:noWrap w:val="0"/>
            <w:vAlign w:val="center"/>
          </w:tcPr>
          <w:p w14:paraId="4C9E5AB5">
            <w:pPr>
              <w:snapToGrid w:val="0"/>
              <w:jc w:val="center"/>
              <w:rPr>
                <w:rFonts w:ascii="Times New Roman" w:hAnsi="Times New Roman"/>
              </w:rPr>
            </w:pPr>
          </w:p>
          <w:p w14:paraId="3EA09FA1">
            <w:pPr>
              <w:snapToGrid w:val="0"/>
              <w:jc w:val="center"/>
              <w:rPr>
                <w:rFonts w:ascii="Times New Roman" w:hAnsi="Times New Roman"/>
              </w:rPr>
            </w:pPr>
            <w:r>
              <w:rPr>
                <w:rFonts w:ascii="Times New Roman" w:hAnsi="Times New Roman"/>
              </w:rPr>
              <w:t>11</w:t>
            </w:r>
          </w:p>
        </w:tc>
        <w:tc>
          <w:tcPr>
            <w:tcW w:w="3602" w:type="pct"/>
            <w:tcBorders>
              <w:top w:val="nil"/>
              <w:left w:val="nil"/>
              <w:bottom w:val="single" w:color="auto" w:sz="4" w:space="0"/>
              <w:right w:val="single" w:color="auto" w:sz="4" w:space="0"/>
            </w:tcBorders>
            <w:shd w:val="clear" w:color="000000" w:fill="FFFFFF"/>
            <w:noWrap w:val="0"/>
            <w:vAlign w:val="center"/>
          </w:tcPr>
          <w:p w14:paraId="18E092FC">
            <w:pPr>
              <w:snapToGrid w:val="0"/>
              <w:rPr>
                <w:rFonts w:ascii="Times New Roman" w:hAnsi="Times New Roman"/>
              </w:rPr>
            </w:pPr>
            <w:r>
              <w:rPr>
                <w:rFonts w:ascii="Times New Roman" w:hAnsi="Times New Roman"/>
              </w:rPr>
              <w:t>1、到2025年赣州市区域用水总量不得超过35.97亿m</w:t>
            </w:r>
            <w:r>
              <w:rPr>
                <w:rFonts w:ascii="Times New Roman" w:hAnsi="Times New Roman"/>
                <w:vertAlign w:val="superscript"/>
              </w:rPr>
              <w:t>3</w:t>
            </w:r>
            <w:r>
              <w:rPr>
                <w:rFonts w:ascii="Times New Roman" w:hAnsi="Times New Roman"/>
              </w:rPr>
              <w:t>。</w:t>
            </w:r>
          </w:p>
        </w:tc>
      </w:tr>
      <w:tr w14:paraId="2842D68B">
        <w:tblPrEx>
          <w:tblCellMar>
            <w:top w:w="0" w:type="dxa"/>
            <w:left w:w="108" w:type="dxa"/>
            <w:bottom w:w="0" w:type="dxa"/>
            <w:right w:w="108" w:type="dxa"/>
          </w:tblCellMar>
        </w:tblPrEx>
        <w:trPr>
          <w:trHeight w:val="367" w:hRule="atLeast"/>
        </w:trPr>
        <w:tc>
          <w:tcPr>
            <w:tcW w:w="465" w:type="pct"/>
            <w:vMerge w:val="continue"/>
            <w:tcBorders>
              <w:top w:val="nil"/>
              <w:left w:val="single" w:color="auto" w:sz="4" w:space="0"/>
              <w:bottom w:val="single" w:color="000000" w:sz="4" w:space="0"/>
              <w:right w:val="single" w:color="auto" w:sz="4" w:space="0"/>
            </w:tcBorders>
            <w:shd w:val="clear" w:color="auto" w:fill="auto"/>
            <w:noWrap w:val="0"/>
            <w:vAlign w:val="center"/>
          </w:tcPr>
          <w:p w14:paraId="16C4BE1B">
            <w:pPr>
              <w:snapToGrid w:val="0"/>
              <w:rPr>
                <w:rFonts w:ascii="Times New Roman" w:hAnsi="Times New Roman"/>
              </w:rPr>
            </w:pPr>
          </w:p>
        </w:tc>
        <w:tc>
          <w:tcPr>
            <w:tcW w:w="465" w:type="pct"/>
            <w:vMerge w:val="continue"/>
            <w:tcBorders>
              <w:left w:val="nil"/>
              <w:bottom w:val="single" w:color="auto" w:sz="4" w:space="0"/>
              <w:right w:val="single" w:color="auto" w:sz="4" w:space="0"/>
            </w:tcBorders>
            <w:shd w:val="clear" w:color="000000" w:fill="FFFFFF"/>
            <w:noWrap w:val="0"/>
            <w:vAlign w:val="center"/>
          </w:tcPr>
          <w:p w14:paraId="1DBF3EB0">
            <w:pPr>
              <w:snapToGrid w:val="0"/>
              <w:jc w:val="center"/>
              <w:rPr>
                <w:rFonts w:ascii="Times New Roman" w:hAnsi="Times New Roman"/>
              </w:rPr>
            </w:pPr>
          </w:p>
        </w:tc>
        <w:tc>
          <w:tcPr>
            <w:tcW w:w="465" w:type="pct"/>
            <w:vMerge w:val="continue"/>
            <w:tcBorders>
              <w:left w:val="nil"/>
              <w:bottom w:val="single" w:color="auto" w:sz="4" w:space="0"/>
              <w:right w:val="single" w:color="auto" w:sz="4" w:space="0"/>
            </w:tcBorders>
            <w:shd w:val="clear" w:color="000000" w:fill="FFFFFF"/>
            <w:noWrap w:val="0"/>
            <w:vAlign w:val="center"/>
          </w:tcPr>
          <w:p w14:paraId="2755A61F">
            <w:pPr>
              <w:snapToGrid w:val="0"/>
              <w:jc w:val="center"/>
              <w:rPr>
                <w:rFonts w:ascii="Times New Roman" w:hAnsi="Times New Roman"/>
              </w:rPr>
            </w:pPr>
          </w:p>
        </w:tc>
        <w:tc>
          <w:tcPr>
            <w:tcW w:w="3602" w:type="pct"/>
            <w:tcBorders>
              <w:top w:val="nil"/>
              <w:left w:val="nil"/>
              <w:bottom w:val="single" w:color="auto" w:sz="4" w:space="0"/>
              <w:right w:val="single" w:color="auto" w:sz="4" w:space="0"/>
            </w:tcBorders>
            <w:shd w:val="clear" w:color="000000" w:fill="FFFFFF"/>
            <w:noWrap w:val="0"/>
            <w:vAlign w:val="center"/>
          </w:tcPr>
          <w:p w14:paraId="255D648D">
            <w:pPr>
              <w:snapToGrid w:val="0"/>
              <w:rPr>
                <w:rFonts w:ascii="Times New Roman" w:hAnsi="Times New Roman"/>
              </w:rPr>
            </w:pPr>
            <w:r>
              <w:rPr>
                <w:rFonts w:ascii="Times New Roman" w:hAnsi="Times New Roman"/>
              </w:rPr>
              <w:t>2、农业灌溉水有效利用效率不低于0.527。</w:t>
            </w:r>
          </w:p>
        </w:tc>
      </w:tr>
      <w:tr w14:paraId="2BDCF6D8">
        <w:tblPrEx>
          <w:tblCellMar>
            <w:top w:w="0" w:type="dxa"/>
            <w:left w:w="108" w:type="dxa"/>
            <w:bottom w:w="0" w:type="dxa"/>
            <w:right w:w="108" w:type="dxa"/>
          </w:tblCellMar>
        </w:tblPrEx>
        <w:trPr>
          <w:trHeight w:val="246" w:hRule="atLeast"/>
        </w:trPr>
        <w:tc>
          <w:tcPr>
            <w:tcW w:w="465" w:type="pct"/>
            <w:vMerge w:val="continue"/>
            <w:tcBorders>
              <w:top w:val="nil"/>
              <w:left w:val="single" w:color="auto" w:sz="4" w:space="0"/>
              <w:bottom w:val="single" w:color="000000" w:sz="4" w:space="0"/>
              <w:right w:val="single" w:color="auto" w:sz="4" w:space="0"/>
            </w:tcBorders>
            <w:shd w:val="clear" w:color="auto" w:fill="auto"/>
            <w:noWrap w:val="0"/>
            <w:vAlign w:val="center"/>
          </w:tcPr>
          <w:p w14:paraId="452C37F5">
            <w:pPr>
              <w:snapToGrid w:val="0"/>
              <w:rPr>
                <w:rFonts w:ascii="Times New Roman" w:hAnsi="Times New Roman"/>
              </w:rPr>
            </w:pPr>
          </w:p>
        </w:tc>
        <w:tc>
          <w:tcPr>
            <w:tcW w:w="465"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31AD5A4">
            <w:pPr>
              <w:snapToGrid w:val="0"/>
              <w:jc w:val="center"/>
              <w:rPr>
                <w:rFonts w:ascii="Times New Roman" w:hAnsi="Times New Roman"/>
              </w:rPr>
            </w:pPr>
            <w:r>
              <w:rPr>
                <w:rFonts w:ascii="Times New Roman" w:hAnsi="Times New Roman"/>
              </w:rPr>
              <w:t>地下水开采要求</w:t>
            </w:r>
          </w:p>
        </w:tc>
        <w:tc>
          <w:tcPr>
            <w:tcW w:w="465"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B657B45">
            <w:pPr>
              <w:snapToGrid w:val="0"/>
              <w:jc w:val="center"/>
              <w:rPr>
                <w:rFonts w:ascii="Times New Roman" w:hAnsi="Times New Roman"/>
              </w:rPr>
            </w:pPr>
            <w:r>
              <w:rPr>
                <w:rFonts w:ascii="Times New Roman" w:hAnsi="Times New Roman"/>
              </w:rPr>
              <w:t>12</w:t>
            </w:r>
          </w:p>
        </w:tc>
        <w:tc>
          <w:tcPr>
            <w:tcW w:w="3602" w:type="pct"/>
            <w:tcBorders>
              <w:top w:val="single" w:color="auto" w:sz="4" w:space="0"/>
              <w:left w:val="nil"/>
              <w:bottom w:val="single" w:color="auto" w:sz="4" w:space="0"/>
              <w:right w:val="single" w:color="auto" w:sz="4" w:space="0"/>
            </w:tcBorders>
            <w:shd w:val="clear" w:color="000000" w:fill="FFFFFF"/>
            <w:noWrap w:val="0"/>
            <w:vAlign w:val="center"/>
          </w:tcPr>
          <w:p w14:paraId="051EEC4D">
            <w:pPr>
              <w:snapToGrid w:val="0"/>
              <w:rPr>
                <w:rFonts w:ascii="Times New Roman" w:hAnsi="Times New Roman"/>
              </w:rPr>
            </w:pPr>
            <w:r>
              <w:rPr>
                <w:rFonts w:ascii="Times New Roman" w:hAnsi="Times New Roman"/>
              </w:rPr>
              <w:t>未经允许禁止在赣州市中心城区新增取用地下水。</w:t>
            </w:r>
          </w:p>
        </w:tc>
      </w:tr>
      <w:tr w14:paraId="285A985B">
        <w:tblPrEx>
          <w:tblCellMar>
            <w:top w:w="0" w:type="dxa"/>
            <w:left w:w="108" w:type="dxa"/>
            <w:bottom w:w="0" w:type="dxa"/>
            <w:right w:w="108" w:type="dxa"/>
          </w:tblCellMar>
        </w:tblPrEx>
        <w:trPr>
          <w:trHeight w:val="573" w:hRule="atLeast"/>
        </w:trPr>
        <w:tc>
          <w:tcPr>
            <w:tcW w:w="465" w:type="pct"/>
            <w:vMerge w:val="continue"/>
            <w:tcBorders>
              <w:top w:val="nil"/>
              <w:left w:val="single" w:color="auto" w:sz="4" w:space="0"/>
              <w:bottom w:val="single" w:color="000000" w:sz="4" w:space="0"/>
              <w:right w:val="single" w:color="auto" w:sz="4" w:space="0"/>
            </w:tcBorders>
            <w:shd w:val="clear" w:color="auto" w:fill="auto"/>
            <w:noWrap w:val="0"/>
            <w:vAlign w:val="center"/>
          </w:tcPr>
          <w:p w14:paraId="7B40DB6D">
            <w:pPr>
              <w:snapToGrid w:val="0"/>
              <w:rPr>
                <w:rFonts w:ascii="Times New Roman" w:hAnsi="Times New Roman"/>
              </w:rPr>
            </w:pPr>
          </w:p>
        </w:tc>
        <w:tc>
          <w:tcPr>
            <w:tcW w:w="465" w:type="pct"/>
            <w:tcBorders>
              <w:top w:val="single" w:color="auto" w:sz="4" w:space="0"/>
              <w:left w:val="nil"/>
              <w:bottom w:val="single" w:color="auto" w:sz="4" w:space="0"/>
              <w:right w:val="single" w:color="auto" w:sz="4" w:space="0"/>
            </w:tcBorders>
            <w:shd w:val="clear" w:color="000000" w:fill="FFFFFF"/>
            <w:noWrap w:val="0"/>
            <w:vAlign w:val="center"/>
          </w:tcPr>
          <w:p w14:paraId="3C1837BB">
            <w:pPr>
              <w:snapToGrid w:val="0"/>
              <w:jc w:val="center"/>
              <w:rPr>
                <w:rFonts w:ascii="Times New Roman" w:hAnsi="Times New Roman"/>
              </w:rPr>
            </w:pPr>
            <w:r>
              <w:rPr>
                <w:rFonts w:ascii="Times New Roman" w:hAnsi="Times New Roman"/>
              </w:rPr>
              <w:t>能源利用总量及效率要求</w:t>
            </w:r>
          </w:p>
        </w:tc>
        <w:tc>
          <w:tcPr>
            <w:tcW w:w="465" w:type="pct"/>
            <w:tcBorders>
              <w:top w:val="single" w:color="auto" w:sz="4" w:space="0"/>
              <w:left w:val="nil"/>
              <w:bottom w:val="single" w:color="auto" w:sz="4" w:space="0"/>
              <w:right w:val="single" w:color="auto" w:sz="4" w:space="0"/>
            </w:tcBorders>
            <w:shd w:val="clear" w:color="000000" w:fill="FFFFFF"/>
            <w:noWrap w:val="0"/>
            <w:vAlign w:val="center"/>
          </w:tcPr>
          <w:p w14:paraId="2DA0BC39">
            <w:pPr>
              <w:snapToGrid w:val="0"/>
              <w:jc w:val="center"/>
              <w:rPr>
                <w:rFonts w:ascii="Times New Roman" w:hAnsi="Times New Roman"/>
              </w:rPr>
            </w:pPr>
            <w:r>
              <w:rPr>
                <w:rFonts w:ascii="Times New Roman" w:hAnsi="Times New Roman"/>
              </w:rPr>
              <w:t>13</w:t>
            </w:r>
          </w:p>
        </w:tc>
        <w:tc>
          <w:tcPr>
            <w:tcW w:w="3602" w:type="pct"/>
            <w:tcBorders>
              <w:top w:val="single" w:color="auto" w:sz="4" w:space="0"/>
              <w:left w:val="nil"/>
              <w:bottom w:val="single" w:color="auto" w:sz="4" w:space="0"/>
              <w:right w:val="single" w:color="auto" w:sz="4" w:space="0"/>
            </w:tcBorders>
            <w:shd w:val="clear" w:color="000000" w:fill="FFFFFF"/>
            <w:noWrap w:val="0"/>
            <w:vAlign w:val="center"/>
          </w:tcPr>
          <w:p w14:paraId="534B8990">
            <w:pPr>
              <w:snapToGrid w:val="0"/>
              <w:rPr>
                <w:rFonts w:ascii="Times New Roman" w:hAnsi="Times New Roman"/>
              </w:rPr>
            </w:pPr>
            <w:r>
              <w:rPr>
                <w:rFonts w:ascii="Times New Roman" w:hAnsi="Times New Roman"/>
              </w:rPr>
              <w:t>到2025年，全市万元地区生产综治能耗比2020年基础目标下降12.5%，激励目标下降13%。</w:t>
            </w:r>
          </w:p>
        </w:tc>
      </w:tr>
      <w:tr w14:paraId="65F16E96">
        <w:tblPrEx>
          <w:tblCellMar>
            <w:top w:w="0" w:type="dxa"/>
            <w:left w:w="108" w:type="dxa"/>
            <w:bottom w:w="0" w:type="dxa"/>
            <w:right w:w="108" w:type="dxa"/>
          </w:tblCellMar>
        </w:tblPrEx>
        <w:trPr>
          <w:trHeight w:val="380" w:hRule="atLeast"/>
        </w:trPr>
        <w:tc>
          <w:tcPr>
            <w:tcW w:w="465" w:type="pct"/>
            <w:vMerge w:val="continue"/>
            <w:tcBorders>
              <w:top w:val="nil"/>
              <w:left w:val="single" w:color="auto" w:sz="4" w:space="0"/>
              <w:bottom w:val="single" w:color="000000" w:sz="4" w:space="0"/>
              <w:right w:val="single" w:color="auto" w:sz="4" w:space="0"/>
            </w:tcBorders>
            <w:shd w:val="clear" w:color="auto" w:fill="auto"/>
            <w:noWrap w:val="0"/>
            <w:vAlign w:val="center"/>
          </w:tcPr>
          <w:p w14:paraId="4A525485">
            <w:pPr>
              <w:snapToGrid w:val="0"/>
              <w:rPr>
                <w:rFonts w:ascii="Times New Roman" w:hAnsi="Times New Roman"/>
              </w:rPr>
            </w:pPr>
          </w:p>
        </w:tc>
        <w:tc>
          <w:tcPr>
            <w:tcW w:w="465" w:type="pct"/>
            <w:tcBorders>
              <w:top w:val="nil"/>
              <w:left w:val="nil"/>
              <w:bottom w:val="single" w:color="auto" w:sz="4" w:space="0"/>
              <w:right w:val="single" w:color="auto" w:sz="4" w:space="0"/>
            </w:tcBorders>
            <w:shd w:val="clear" w:color="000000" w:fill="FFFFFF"/>
            <w:noWrap w:val="0"/>
            <w:vAlign w:val="center"/>
          </w:tcPr>
          <w:p w14:paraId="21581C8A">
            <w:pPr>
              <w:snapToGrid w:val="0"/>
              <w:jc w:val="center"/>
              <w:rPr>
                <w:rFonts w:ascii="Times New Roman" w:hAnsi="Times New Roman"/>
              </w:rPr>
            </w:pPr>
            <w:r>
              <w:rPr>
                <w:rFonts w:ascii="Times New Roman" w:hAnsi="Times New Roman"/>
              </w:rPr>
              <w:t>禁燃区要求</w:t>
            </w:r>
          </w:p>
        </w:tc>
        <w:tc>
          <w:tcPr>
            <w:tcW w:w="465" w:type="pct"/>
            <w:tcBorders>
              <w:top w:val="nil"/>
              <w:left w:val="nil"/>
              <w:bottom w:val="single" w:color="auto" w:sz="4" w:space="0"/>
              <w:right w:val="single" w:color="auto" w:sz="4" w:space="0"/>
            </w:tcBorders>
            <w:shd w:val="clear" w:color="000000" w:fill="FFFFFF"/>
            <w:noWrap w:val="0"/>
            <w:vAlign w:val="center"/>
          </w:tcPr>
          <w:p w14:paraId="22D71F6E">
            <w:pPr>
              <w:snapToGrid w:val="0"/>
              <w:jc w:val="center"/>
              <w:rPr>
                <w:rFonts w:ascii="Times New Roman" w:hAnsi="Times New Roman"/>
              </w:rPr>
            </w:pPr>
            <w:r>
              <w:rPr>
                <w:rFonts w:hint="eastAsia" w:ascii="Times New Roman" w:hAnsi="Times New Roman"/>
              </w:rPr>
              <w:t>1</w:t>
            </w:r>
            <w:r>
              <w:rPr>
                <w:rFonts w:ascii="Times New Roman" w:hAnsi="Times New Roman"/>
              </w:rPr>
              <w:t>4</w:t>
            </w:r>
          </w:p>
        </w:tc>
        <w:tc>
          <w:tcPr>
            <w:tcW w:w="3602" w:type="pct"/>
            <w:tcBorders>
              <w:top w:val="nil"/>
              <w:left w:val="nil"/>
              <w:bottom w:val="single" w:color="auto" w:sz="4" w:space="0"/>
              <w:right w:val="single" w:color="auto" w:sz="4" w:space="0"/>
            </w:tcBorders>
            <w:shd w:val="clear" w:color="000000" w:fill="FFFFFF"/>
            <w:noWrap w:val="0"/>
            <w:vAlign w:val="center"/>
          </w:tcPr>
          <w:p w14:paraId="56D5853D">
            <w:pPr>
              <w:snapToGrid w:val="0"/>
              <w:rPr>
                <w:rFonts w:ascii="Times New Roman" w:hAnsi="Times New Roman"/>
              </w:rPr>
            </w:pPr>
            <w:r>
              <w:rPr>
                <w:rFonts w:ascii="Times New Roman" w:hAnsi="Times New Roman"/>
              </w:rPr>
              <w:t>1、禁止在赣州市划定的高污染燃料禁燃区燃用高污染燃料，新建、扩建燃用高污染燃料的项目和设施。</w:t>
            </w:r>
          </w:p>
          <w:p w14:paraId="2945F8E0">
            <w:pPr>
              <w:snapToGrid w:val="0"/>
              <w:rPr>
                <w:rFonts w:ascii="Times New Roman" w:hAnsi="Times New Roman"/>
              </w:rPr>
            </w:pPr>
            <w:r>
              <w:rPr>
                <w:rFonts w:ascii="Times New Roman" w:hAnsi="Times New Roman"/>
              </w:rPr>
              <w:t>2、禁燃区内现有使用高污染燃料的区域应分期分批次淘汰或实施清洁能源改造。</w:t>
            </w:r>
          </w:p>
        </w:tc>
      </w:tr>
      <w:bookmarkEnd w:id="0"/>
    </w:tbl>
    <w:p w14:paraId="2A632837">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sz w:val="32"/>
          <w:szCs w:val="32"/>
          <w:lang w:val="en-US" w:eastAsia="zh-CN"/>
        </w:rPr>
      </w:pPr>
    </w:p>
    <w:p w14:paraId="48CCBCEE">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sz w:val="32"/>
          <w:szCs w:val="32"/>
          <w:lang w:val="en-US" w:eastAsia="zh-CN"/>
        </w:rPr>
        <w:sectPr>
          <w:pgSz w:w="16838" w:h="11906" w:orient="landscape"/>
          <w:pgMar w:top="1587" w:right="2098" w:bottom="1474" w:left="1984" w:header="851" w:footer="992" w:gutter="0"/>
          <w:pgNumType w:fmt="decimal"/>
          <w:cols w:space="720" w:num="1"/>
          <w:rtlGutter w:val="0"/>
          <w:docGrid w:type="lines" w:linePitch="315" w:charSpace="0"/>
        </w:sectPr>
      </w:pPr>
    </w:p>
    <w:p w14:paraId="6E20CE57"/>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altName w:val="Arial Unicode MS"/>
    <w:panose1 w:val="02000000000000000000"/>
    <w:charset w:val="86"/>
    <w:family w:val="auto"/>
    <w:pitch w:val="default"/>
    <w:sig w:usb0="00000001" w:usb1="08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FCC7558"/>
    <w:rsid w:val="777B96C5"/>
    <w:rsid w:val="7EDB3213"/>
    <w:rsid w:val="FBDFF63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Style w:val="3"/>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2472</Words>
  <Characters>2525</Characters>
  <Lines>0</Lines>
  <Paragraphs>0</Paragraphs>
  <TotalTime>6.33333333333333</TotalTime>
  <ScaleCrop>false</ScaleCrop>
  <LinksUpToDate>false</LinksUpToDate>
  <CharactersWithSpaces>2525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2024-10-16T18:34:11Z</dcterms:created>
  <dc:creator>user</dc:creator>
  <cp:lastModifiedBy>行云流水</cp:lastModifiedBy>
  <dcterms:modified xsi:type="dcterms:W3CDTF">2024-10-22T03:05:49Z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5FA0F63AEE8F4D218561A13BD8B6EED7_13</vt:lpwstr>
  </property>
</Properties>
</file>