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仿宋_GB2312" w:eastAsia="仿宋_GB2312"/>
          <w:b w:val="0"/>
          <w:sz w:val="32"/>
          <w:szCs w:val="32"/>
          <w:lang w:val="en-GB"/>
        </w:rPr>
      </w:pPr>
      <w:r>
        <w:rPr>
          <w:rFonts w:hint="eastAsia" w:ascii="仿宋_GB2312" w:eastAsia="仿宋_GB2312"/>
          <w:b w:val="0"/>
          <w:sz w:val="32"/>
          <w:szCs w:val="32"/>
          <w:lang w:val="en-GB"/>
        </w:rPr>
        <w:t>附件1</w:t>
      </w:r>
      <w:bookmarkStart w:id="2" w:name="_GoBack"/>
      <w:bookmarkEnd w:id="2"/>
    </w:p>
    <w:p>
      <w:pPr>
        <w:spacing w:line="0" w:lineRule="atLeast"/>
        <w:jc w:val="center"/>
        <w:rPr>
          <w:rFonts w:hint="eastAsia" w:ascii="方正小标宋简体" w:eastAsia="方正小标宋简体"/>
          <w:b w:val="0"/>
          <w:sz w:val="44"/>
          <w:szCs w:val="44"/>
        </w:rPr>
      </w:pPr>
      <w:r>
        <w:rPr>
          <w:rFonts w:hint="eastAsia" w:ascii="方正小标宋简体" w:eastAsia="方正小标宋简体"/>
          <w:b w:val="0"/>
          <w:sz w:val="44"/>
          <w:szCs w:val="44"/>
        </w:rPr>
        <w:t>赣州市2021年“揭榜挂帅”制科技项目榜单</w:t>
      </w:r>
    </w:p>
    <w:tbl>
      <w:tblPr>
        <w:tblStyle w:val="7"/>
        <w:tblW w:w="21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422"/>
        <w:gridCol w:w="1435"/>
        <w:gridCol w:w="4562"/>
        <w:gridCol w:w="4914"/>
        <w:gridCol w:w="1351"/>
        <w:gridCol w:w="1974"/>
        <w:gridCol w:w="1504"/>
        <w:gridCol w:w="1174"/>
        <w:gridCol w:w="123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jc w:val="center"/>
        </w:trPr>
        <w:tc>
          <w:tcPr>
            <w:tcW w:w="617"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序号</w:t>
            </w:r>
          </w:p>
        </w:tc>
        <w:tc>
          <w:tcPr>
            <w:tcW w:w="1422"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项目名称</w:t>
            </w:r>
          </w:p>
        </w:tc>
        <w:tc>
          <w:tcPr>
            <w:tcW w:w="1435"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需求单位</w:t>
            </w:r>
          </w:p>
        </w:tc>
        <w:tc>
          <w:tcPr>
            <w:tcW w:w="4562"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主要研究内容</w:t>
            </w:r>
          </w:p>
        </w:tc>
        <w:tc>
          <w:tcPr>
            <w:tcW w:w="4914"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考核指标</w:t>
            </w:r>
          </w:p>
        </w:tc>
        <w:tc>
          <w:tcPr>
            <w:tcW w:w="1351" w:type="dxa"/>
            <w:noWrap w:val="0"/>
            <w:vAlign w:val="center"/>
          </w:tcPr>
          <w:p>
            <w:pPr>
              <w:spacing w:line="0" w:lineRule="atLeast"/>
              <w:jc w:val="center"/>
              <w:rPr>
                <w:rFonts w:hint="eastAsia" w:ascii="仿宋" w:hAnsi="仿宋" w:eastAsia="仿宋"/>
                <w:b/>
                <w:sz w:val="28"/>
                <w:szCs w:val="28"/>
              </w:rPr>
            </w:pPr>
            <w:r>
              <w:rPr>
                <w:rFonts w:hint="eastAsia" w:ascii="仿宋" w:hAnsi="仿宋" w:eastAsia="仿宋"/>
                <w:b/>
                <w:sz w:val="28"/>
                <w:szCs w:val="28"/>
              </w:rPr>
              <w:t>研发总额</w:t>
            </w:r>
          </w:p>
          <w:p>
            <w:pPr>
              <w:spacing w:line="0" w:lineRule="atLeast"/>
              <w:jc w:val="center"/>
              <w:rPr>
                <w:rFonts w:hint="eastAsia" w:ascii="仿宋" w:hAnsi="仿宋" w:eastAsia="仿宋"/>
                <w:b/>
                <w:sz w:val="28"/>
                <w:szCs w:val="28"/>
              </w:rPr>
            </w:pPr>
            <w:r>
              <w:rPr>
                <w:rFonts w:hint="eastAsia" w:ascii="仿宋" w:hAnsi="仿宋" w:eastAsia="仿宋"/>
                <w:b/>
                <w:sz w:val="28"/>
                <w:szCs w:val="28"/>
              </w:rPr>
              <w:t>（万元）</w:t>
            </w:r>
          </w:p>
        </w:tc>
        <w:tc>
          <w:tcPr>
            <w:tcW w:w="1974" w:type="dxa"/>
            <w:noWrap w:val="0"/>
            <w:vAlign w:val="center"/>
          </w:tcPr>
          <w:p>
            <w:pPr>
              <w:spacing w:line="0" w:lineRule="atLeast"/>
              <w:jc w:val="center"/>
              <w:rPr>
                <w:rFonts w:hint="eastAsia" w:ascii="仿宋" w:hAnsi="仿宋" w:eastAsia="仿宋"/>
                <w:b/>
                <w:sz w:val="28"/>
                <w:szCs w:val="28"/>
              </w:rPr>
            </w:pPr>
            <w:r>
              <w:rPr>
                <w:rFonts w:hint="eastAsia" w:ascii="仿宋" w:hAnsi="仿宋" w:eastAsia="仿宋"/>
                <w:b/>
                <w:sz w:val="28"/>
                <w:szCs w:val="28"/>
              </w:rPr>
              <w:t>市、县（市、</w:t>
            </w:r>
          </w:p>
          <w:p>
            <w:pPr>
              <w:spacing w:line="0" w:lineRule="atLeast"/>
              <w:jc w:val="center"/>
              <w:rPr>
                <w:rFonts w:hint="eastAsia" w:ascii="仿宋" w:hAnsi="仿宋" w:eastAsia="仿宋"/>
                <w:b/>
                <w:sz w:val="28"/>
                <w:szCs w:val="28"/>
              </w:rPr>
            </w:pPr>
            <w:r>
              <w:rPr>
                <w:rFonts w:hint="eastAsia" w:ascii="仿宋" w:hAnsi="仿宋" w:eastAsia="仿宋"/>
                <w:b/>
                <w:sz w:val="28"/>
                <w:szCs w:val="28"/>
              </w:rPr>
              <w:t>区）财政支持</w:t>
            </w:r>
          </w:p>
          <w:p>
            <w:pPr>
              <w:spacing w:line="0" w:lineRule="atLeast"/>
              <w:jc w:val="center"/>
              <w:rPr>
                <w:rFonts w:hint="eastAsia" w:ascii="仿宋" w:hAnsi="仿宋" w:eastAsia="仿宋"/>
                <w:b/>
                <w:sz w:val="28"/>
                <w:szCs w:val="28"/>
              </w:rPr>
            </w:pPr>
            <w:r>
              <w:rPr>
                <w:rFonts w:hint="eastAsia" w:ascii="仿宋" w:hAnsi="仿宋" w:eastAsia="仿宋"/>
                <w:b/>
                <w:sz w:val="28"/>
                <w:szCs w:val="28"/>
              </w:rPr>
              <w:t>额度（万元）</w:t>
            </w:r>
          </w:p>
        </w:tc>
        <w:tc>
          <w:tcPr>
            <w:tcW w:w="1504" w:type="dxa"/>
            <w:noWrap w:val="0"/>
            <w:vAlign w:val="center"/>
          </w:tcPr>
          <w:p>
            <w:pPr>
              <w:spacing w:line="0" w:lineRule="atLeast"/>
              <w:jc w:val="center"/>
              <w:rPr>
                <w:rFonts w:hint="eastAsia" w:ascii="仿宋" w:hAnsi="仿宋" w:eastAsia="仿宋"/>
                <w:b/>
                <w:sz w:val="28"/>
                <w:szCs w:val="28"/>
              </w:rPr>
            </w:pPr>
            <w:r>
              <w:rPr>
                <w:rFonts w:hint="eastAsia" w:ascii="仿宋" w:hAnsi="仿宋" w:eastAsia="仿宋"/>
                <w:b/>
                <w:sz w:val="28"/>
                <w:szCs w:val="28"/>
              </w:rPr>
              <w:t>企业承诺</w:t>
            </w:r>
          </w:p>
          <w:p>
            <w:pPr>
              <w:spacing w:line="0" w:lineRule="atLeast"/>
              <w:jc w:val="center"/>
              <w:rPr>
                <w:rFonts w:hint="eastAsia" w:ascii="仿宋" w:hAnsi="仿宋" w:eastAsia="仿宋"/>
                <w:b/>
                <w:sz w:val="28"/>
                <w:szCs w:val="28"/>
              </w:rPr>
            </w:pPr>
            <w:r>
              <w:rPr>
                <w:rFonts w:hint="eastAsia" w:ascii="仿宋" w:hAnsi="仿宋" w:eastAsia="仿宋"/>
                <w:b/>
                <w:sz w:val="28"/>
                <w:szCs w:val="28"/>
              </w:rPr>
              <w:t>配套额度</w:t>
            </w:r>
          </w:p>
          <w:p>
            <w:pPr>
              <w:spacing w:line="0" w:lineRule="atLeast"/>
              <w:jc w:val="center"/>
              <w:rPr>
                <w:rFonts w:hint="eastAsia" w:ascii="仿宋" w:hAnsi="仿宋" w:eastAsia="仿宋"/>
                <w:b/>
                <w:sz w:val="28"/>
                <w:szCs w:val="28"/>
              </w:rPr>
            </w:pPr>
            <w:r>
              <w:rPr>
                <w:rFonts w:hint="eastAsia" w:ascii="仿宋" w:hAnsi="仿宋" w:eastAsia="仿宋"/>
                <w:b/>
                <w:sz w:val="28"/>
                <w:szCs w:val="28"/>
              </w:rPr>
              <w:t>（万元）</w:t>
            </w:r>
          </w:p>
        </w:tc>
        <w:tc>
          <w:tcPr>
            <w:tcW w:w="1174" w:type="dxa"/>
            <w:noWrap w:val="0"/>
            <w:vAlign w:val="center"/>
          </w:tcPr>
          <w:p>
            <w:pPr>
              <w:spacing w:line="0" w:lineRule="atLeast"/>
              <w:jc w:val="center"/>
              <w:rPr>
                <w:rFonts w:hint="eastAsia" w:ascii="仿宋" w:hAnsi="仿宋" w:eastAsia="仿宋"/>
                <w:b/>
                <w:sz w:val="28"/>
                <w:szCs w:val="28"/>
              </w:rPr>
            </w:pPr>
            <w:r>
              <w:rPr>
                <w:rFonts w:hint="eastAsia" w:ascii="仿宋" w:hAnsi="仿宋" w:eastAsia="仿宋"/>
                <w:b/>
                <w:sz w:val="28"/>
                <w:szCs w:val="28"/>
              </w:rPr>
              <w:t>项目完成时间</w:t>
            </w:r>
          </w:p>
        </w:tc>
        <w:tc>
          <w:tcPr>
            <w:tcW w:w="1236"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属地</w:t>
            </w:r>
          </w:p>
        </w:tc>
        <w:tc>
          <w:tcPr>
            <w:tcW w:w="1756" w:type="dxa"/>
            <w:noWrap w:val="0"/>
            <w:vAlign w:val="center"/>
          </w:tcPr>
          <w:p>
            <w:pPr>
              <w:spacing w:line="400" w:lineRule="exact"/>
              <w:jc w:val="center"/>
              <w:rPr>
                <w:rFonts w:hint="eastAsia" w:ascii="仿宋" w:hAnsi="仿宋" w:eastAsia="仿宋"/>
                <w:b/>
                <w:sz w:val="28"/>
                <w:szCs w:val="28"/>
              </w:rPr>
            </w:pPr>
            <w:r>
              <w:rPr>
                <w:rFonts w:hint="eastAsia" w:ascii="仿宋" w:hAnsi="仿宋" w:eastAsia="仿宋"/>
                <w:b/>
                <w:sz w:val="28"/>
                <w:szCs w:val="28"/>
              </w:rPr>
              <w:t>技术需求企业联系人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17"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w:t>
            </w:r>
          </w:p>
        </w:tc>
        <w:tc>
          <w:tcPr>
            <w:tcW w:w="1422"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国六排放标准的柴油车用稀土基SCR催化剂量产技术研发与示范</w:t>
            </w:r>
          </w:p>
        </w:tc>
        <w:tc>
          <w:tcPr>
            <w:tcW w:w="1435"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江西零真生态环境集团有限公司</w:t>
            </w:r>
          </w:p>
        </w:tc>
        <w:tc>
          <w:tcPr>
            <w:tcW w:w="4562"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研发稀土基氮氧化物选择性还原催化剂（SCR），突破稀土基SCR催化剂高温劣化、硫中毒等技术难题；研究稀土基S</w:t>
            </w:r>
            <w:r>
              <w:rPr>
                <w:rFonts w:ascii="仿宋" w:hAnsi="仿宋" w:eastAsia="仿宋"/>
                <w:sz w:val="28"/>
                <w:szCs w:val="28"/>
              </w:rPr>
              <w:t>CR</w:t>
            </w:r>
            <w:r>
              <w:rPr>
                <w:rFonts w:hint="eastAsia" w:ascii="仿宋" w:hAnsi="仿宋" w:eastAsia="仿宋"/>
                <w:sz w:val="28"/>
                <w:szCs w:val="28"/>
              </w:rPr>
              <w:t>催化剂合成放大技术、整体催化剂涂覆成型等技术，开展稀土基后处理系统的集成、发动机匹配与性能测试，实现示范应用，解决柴油车尾气净化用稀土基S</w:t>
            </w:r>
            <w:r>
              <w:rPr>
                <w:rFonts w:ascii="仿宋" w:hAnsi="仿宋" w:eastAsia="仿宋"/>
                <w:sz w:val="28"/>
                <w:szCs w:val="28"/>
              </w:rPr>
              <w:t>CR</w:t>
            </w:r>
            <w:r>
              <w:rPr>
                <w:rFonts w:hint="eastAsia" w:ascii="仿宋" w:hAnsi="仿宋" w:eastAsia="仿宋"/>
                <w:sz w:val="28"/>
                <w:szCs w:val="28"/>
              </w:rPr>
              <w:t>催化剂工程应用的基本问题。</w:t>
            </w:r>
          </w:p>
        </w:tc>
        <w:tc>
          <w:tcPr>
            <w:tcW w:w="4914" w:type="dxa"/>
            <w:noWrap w:val="0"/>
            <w:vAlign w:val="center"/>
          </w:tcPr>
          <w:p>
            <w:pPr>
              <w:spacing w:line="0" w:lineRule="atLeast"/>
              <w:rPr>
                <w:rFonts w:hint="eastAsia" w:ascii="仿宋" w:hAnsi="仿宋" w:eastAsia="仿宋"/>
                <w:sz w:val="28"/>
                <w:szCs w:val="28"/>
              </w:rPr>
            </w:pPr>
            <w:r>
              <w:rPr>
                <w:rFonts w:hint="eastAsia" w:ascii="仿宋" w:hAnsi="仿宋" w:eastAsia="仿宋"/>
                <w:sz w:val="28"/>
                <w:szCs w:val="28"/>
              </w:rPr>
              <w:t>1.稀土基SCR催化剂能耐受650 oC-100小时水热老化。</w:t>
            </w:r>
          </w:p>
          <w:p>
            <w:pPr>
              <w:spacing w:line="0" w:lineRule="atLeast"/>
              <w:rPr>
                <w:rFonts w:hint="eastAsia" w:ascii="仿宋" w:hAnsi="仿宋" w:eastAsia="仿宋"/>
                <w:sz w:val="28"/>
                <w:szCs w:val="28"/>
              </w:rPr>
            </w:pPr>
            <w:r>
              <w:rPr>
                <w:rFonts w:hint="eastAsia" w:ascii="仿宋" w:hAnsi="仿宋" w:eastAsia="仿宋"/>
                <w:sz w:val="28"/>
                <w:szCs w:val="28"/>
              </w:rPr>
              <w:t>2.集成式后处理技术系统匹配国产重型柴油发动机满足国六限值要求。</w:t>
            </w:r>
          </w:p>
          <w:p>
            <w:pPr>
              <w:spacing w:line="0" w:lineRule="atLeast"/>
              <w:rPr>
                <w:rFonts w:hint="eastAsia" w:ascii="仿宋" w:hAnsi="仿宋" w:eastAsia="仿宋"/>
                <w:sz w:val="28"/>
                <w:szCs w:val="28"/>
              </w:rPr>
            </w:pPr>
            <w:r>
              <w:rPr>
                <w:rFonts w:hint="eastAsia" w:ascii="仿宋" w:hAnsi="仿宋" w:eastAsia="仿宋"/>
                <w:sz w:val="28"/>
                <w:szCs w:val="28"/>
              </w:rPr>
              <w:t>3.获得技术专利5-8项，发表科技论文5-8篇。</w:t>
            </w:r>
          </w:p>
          <w:p>
            <w:pPr>
              <w:spacing w:line="0" w:lineRule="atLeast"/>
              <w:rPr>
                <w:rFonts w:hint="eastAsia" w:ascii="仿宋" w:hAnsi="仿宋" w:eastAsia="仿宋"/>
                <w:sz w:val="28"/>
                <w:szCs w:val="28"/>
              </w:rPr>
            </w:pPr>
            <w:r>
              <w:rPr>
                <w:rFonts w:hint="eastAsia" w:ascii="仿宋" w:hAnsi="仿宋" w:eastAsia="仿宋"/>
                <w:sz w:val="28"/>
                <w:szCs w:val="28"/>
              </w:rPr>
              <w:t>4.建设年产500吨级稀土基S</w:t>
            </w:r>
            <w:r>
              <w:rPr>
                <w:rFonts w:ascii="仿宋" w:hAnsi="仿宋" w:eastAsia="仿宋"/>
                <w:sz w:val="28"/>
                <w:szCs w:val="28"/>
              </w:rPr>
              <w:t>CR</w:t>
            </w:r>
            <w:r>
              <w:rPr>
                <w:rFonts w:hint="eastAsia" w:ascii="仿宋" w:hAnsi="仿宋" w:eastAsia="仿宋"/>
                <w:sz w:val="28"/>
                <w:szCs w:val="28"/>
              </w:rPr>
              <w:t>催化剂示范线。</w:t>
            </w:r>
          </w:p>
        </w:tc>
        <w:tc>
          <w:tcPr>
            <w:tcW w:w="135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3000</w:t>
            </w:r>
          </w:p>
        </w:tc>
        <w:tc>
          <w:tcPr>
            <w:tcW w:w="19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1000</w:t>
            </w:r>
          </w:p>
        </w:tc>
        <w:tc>
          <w:tcPr>
            <w:tcW w:w="15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2000</w:t>
            </w:r>
          </w:p>
        </w:tc>
        <w:tc>
          <w:tcPr>
            <w:tcW w:w="11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2023年12月前</w:t>
            </w:r>
          </w:p>
        </w:tc>
        <w:tc>
          <w:tcPr>
            <w:tcW w:w="123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赣州经开区</w:t>
            </w:r>
          </w:p>
        </w:tc>
        <w:tc>
          <w:tcPr>
            <w:tcW w:w="175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张大超，13766377328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17"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w:t>
            </w:r>
          </w:p>
        </w:tc>
        <w:tc>
          <w:tcPr>
            <w:tcW w:w="1422"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离子型稀土绿色开采技术及关键装备研究</w:t>
            </w:r>
          </w:p>
        </w:tc>
        <w:tc>
          <w:tcPr>
            <w:tcW w:w="1435"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赣州稀土矿业有限公司</w:t>
            </w:r>
          </w:p>
        </w:tc>
        <w:tc>
          <w:tcPr>
            <w:tcW w:w="4562" w:type="dxa"/>
            <w:noWrap w:val="0"/>
            <w:vAlign w:val="center"/>
          </w:tcPr>
          <w:p>
            <w:pPr>
              <w:pStyle w:val="2"/>
              <w:spacing w:after="0" w:line="400" w:lineRule="exact"/>
              <w:rPr>
                <w:rFonts w:hint="eastAsia" w:ascii="仿宋" w:hAnsi="仿宋" w:eastAsia="仿宋"/>
                <w:sz w:val="28"/>
                <w:szCs w:val="28"/>
              </w:rPr>
            </w:pPr>
            <w:r>
              <w:rPr>
                <w:rFonts w:ascii="仿宋" w:hAnsi="仿宋" w:eastAsia="仿宋"/>
                <w:sz w:val="28"/>
                <w:szCs w:val="28"/>
              </w:rPr>
              <w:t>基于原地浸矿工艺的离子型稀土开采，因存在精准注（收）液等诸多工程和稀土浸出母液中稀土高效富集与连续生产等技术难题，</w:t>
            </w:r>
            <w:r>
              <w:rPr>
                <w:rFonts w:hint="eastAsia" w:ascii="仿宋" w:hAnsi="仿宋" w:eastAsia="仿宋"/>
                <w:sz w:val="28"/>
                <w:szCs w:val="28"/>
              </w:rPr>
              <w:t>需在原有基础上进一步提高资源回收率、提升自动化水平，减少环境影响</w:t>
            </w:r>
            <w:r>
              <w:rPr>
                <w:rFonts w:ascii="仿宋" w:hAnsi="仿宋" w:eastAsia="仿宋"/>
                <w:sz w:val="28"/>
                <w:szCs w:val="28"/>
              </w:rPr>
              <w:t>。</w:t>
            </w:r>
          </w:p>
          <w:p>
            <w:pPr>
              <w:pStyle w:val="2"/>
              <w:spacing w:after="0" w:line="40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通过优化注液收液等工程和管理措施，提高稀土矿山采选综合回收率。</w:t>
            </w:r>
          </w:p>
          <w:p>
            <w:pPr>
              <w:pStyle w:val="2"/>
              <w:spacing w:after="0" w:line="400" w:lineRule="exac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通过数字化自动化连续生产工艺的开发，实现工艺流程的缩短、车间占地面积的减少、生产效率的提高。</w:t>
            </w:r>
          </w:p>
          <w:p>
            <w:pPr>
              <w:pStyle w:val="2"/>
              <w:spacing w:after="0" w:line="400" w:lineRule="exac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通过矿山地质和储量模型的建立，有效指导离子型稀土矿山的生产。</w:t>
            </w:r>
          </w:p>
          <w:p>
            <w:pPr>
              <w:spacing w:line="400" w:lineRule="exact"/>
              <w:rPr>
                <w:rFonts w:hint="eastAsia" w:ascii="仿宋" w:hAnsi="仿宋" w:eastAsia="仿宋"/>
                <w:sz w:val="28"/>
                <w:szCs w:val="28"/>
              </w:rPr>
            </w:pPr>
            <w:r>
              <w:rPr>
                <w:rFonts w:hint="eastAsia" w:ascii="仿宋" w:hAnsi="仿宋" w:eastAsia="仿宋"/>
                <w:sz w:val="28"/>
                <w:szCs w:val="28"/>
              </w:rPr>
              <w:t>4.</w:t>
            </w:r>
            <w:r>
              <w:rPr>
                <w:rFonts w:ascii="仿宋" w:hAnsi="仿宋" w:eastAsia="仿宋"/>
                <w:sz w:val="28"/>
                <w:szCs w:val="28"/>
              </w:rPr>
              <w:t>通过新型无铵开采工艺的开发，提高资源回收率、保护生态环境。</w:t>
            </w:r>
          </w:p>
        </w:tc>
        <w:tc>
          <w:tcPr>
            <w:tcW w:w="4914" w:type="dxa"/>
            <w:noWrap w:val="0"/>
            <w:vAlign w:val="center"/>
          </w:tcPr>
          <w:p>
            <w:pPr>
              <w:pStyle w:val="2"/>
              <w:spacing w:after="0" w:line="0" w:lineRule="atLeas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完成稀土地质数据三维立体表达、稀土开采精准设计、高效开采工程布置和水冶车间的连续生产成套装备的研制及自动化升级，结合环境保护和生态修复新技术及关键装备的研发，填补无铵原地浸矿全流程管控方面的技术空白，全面支撑离子型稀土矿绿色开采。</w:t>
            </w:r>
          </w:p>
          <w:p>
            <w:pPr>
              <w:pStyle w:val="2"/>
              <w:spacing w:after="0" w:line="0" w:lineRule="atLeas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开展稀土矿绿色开采全流程现场工业化示范，建成一条日处理母液量≥5000m3的离子型稀土矿无铵绿色采选冶示范工程生产线，确保开采回采率≥90%、选矿回收率≥98%、生产用水循环利用率≥95%。</w:t>
            </w:r>
          </w:p>
          <w:p>
            <w:pPr>
              <w:spacing w:line="0" w:lineRule="atLeast"/>
              <w:rPr>
                <w:rFonts w:hint="eastAsia" w:ascii="仿宋" w:hAnsi="仿宋" w:eastAsia="仿宋"/>
                <w:sz w:val="28"/>
                <w:szCs w:val="28"/>
              </w:rPr>
            </w:pPr>
            <w:r>
              <w:rPr>
                <w:rFonts w:hint="eastAsia" w:ascii="仿宋" w:hAnsi="仿宋" w:eastAsia="仿宋"/>
                <w:sz w:val="28"/>
                <w:szCs w:val="28"/>
              </w:rPr>
              <w:t>3.</w:t>
            </w:r>
            <w:r>
              <w:rPr>
                <w:rFonts w:ascii="仿宋" w:hAnsi="仿宋" w:eastAsia="仿宋"/>
                <w:sz w:val="28"/>
                <w:szCs w:val="28"/>
              </w:rPr>
              <w:t>对无铵开采工艺进行全面评价研究，获取采选冶全流程技术参数、指标和矿山闭坑后复垦及生态修复工艺参数，构建离子型稀土矿采选冶大数据库，形成一整套离子型稀土矿山绿色开采技术体系，编制并起草相关技术规范和标准。</w:t>
            </w:r>
          </w:p>
        </w:tc>
        <w:tc>
          <w:tcPr>
            <w:tcW w:w="135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2800</w:t>
            </w:r>
          </w:p>
        </w:tc>
        <w:tc>
          <w:tcPr>
            <w:tcW w:w="19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500</w:t>
            </w:r>
          </w:p>
        </w:tc>
        <w:tc>
          <w:tcPr>
            <w:tcW w:w="15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2300</w:t>
            </w:r>
          </w:p>
        </w:tc>
        <w:tc>
          <w:tcPr>
            <w:tcW w:w="11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2023年12月</w:t>
            </w:r>
          </w:p>
        </w:tc>
        <w:tc>
          <w:tcPr>
            <w:tcW w:w="123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赣州市</w:t>
            </w:r>
          </w:p>
        </w:tc>
        <w:tc>
          <w:tcPr>
            <w:tcW w:w="175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邹志强，13767790339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9" w:hRule="atLeast"/>
          <w:jc w:val="center"/>
        </w:trPr>
        <w:tc>
          <w:tcPr>
            <w:tcW w:w="617"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3</w:t>
            </w:r>
          </w:p>
        </w:tc>
        <w:tc>
          <w:tcPr>
            <w:tcW w:w="1422"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体外诊断抗体核心原料关键技术研究</w:t>
            </w:r>
          </w:p>
        </w:tc>
        <w:tc>
          <w:tcPr>
            <w:tcW w:w="1435"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江西惠康基因科技有限公司</w:t>
            </w:r>
          </w:p>
        </w:tc>
        <w:tc>
          <w:tcPr>
            <w:tcW w:w="4562"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研究高质量抗原和抗体制备技术体系，实现针对动物常见临床疾病诊断和疾病基础研究的抗原制备、抗体制备和生产；研究肿瘤病理学免疫组化诊断标志物，结合抗体制备生产技术，研发出核心体外诊断抗体；研究血清学免疫诊断指标，研发常见疾病血清学免疫诊断高质量体外诊断抗体核心原料；研究心血管疾病、代谢疾病和肿瘤疾病常见基础科研抗体。</w:t>
            </w:r>
          </w:p>
        </w:tc>
        <w:tc>
          <w:tcPr>
            <w:tcW w:w="4914" w:type="dxa"/>
            <w:noWrap w:val="0"/>
            <w:vAlign w:val="center"/>
          </w:tcPr>
          <w:p>
            <w:pPr>
              <w:spacing w:line="360" w:lineRule="exact"/>
              <w:rPr>
                <w:rFonts w:hint="eastAsia"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研发肿瘤病理学免疫组化体外诊断抗体不少于</w:t>
            </w:r>
            <w:r>
              <w:rPr>
                <w:rFonts w:ascii="仿宋" w:hAnsi="仿宋" w:eastAsia="仿宋"/>
                <w:sz w:val="28"/>
                <w:szCs w:val="28"/>
              </w:rPr>
              <w:t>200</w:t>
            </w:r>
            <w:r>
              <w:rPr>
                <w:rFonts w:hint="eastAsia" w:ascii="仿宋" w:hAnsi="仿宋" w:eastAsia="仿宋"/>
                <w:sz w:val="28"/>
                <w:szCs w:val="28"/>
              </w:rPr>
              <w:t>个；完成对抗体质量检测和每个抗体不少于</w:t>
            </w:r>
            <w:r>
              <w:rPr>
                <w:rFonts w:ascii="仿宋" w:hAnsi="仿宋" w:eastAsia="仿宋"/>
                <w:sz w:val="28"/>
                <w:szCs w:val="28"/>
              </w:rPr>
              <w:t>200</w:t>
            </w:r>
            <w:r>
              <w:rPr>
                <w:rFonts w:hint="eastAsia" w:ascii="仿宋" w:hAnsi="仿宋" w:eastAsia="仿宋"/>
                <w:sz w:val="28"/>
                <w:szCs w:val="28"/>
              </w:rPr>
              <w:t>例临床试验总样本数检测。</w:t>
            </w:r>
          </w:p>
          <w:p>
            <w:pPr>
              <w:spacing w:line="360" w:lineRule="exact"/>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研发常见疾病血清学免疫诊断高质量体外诊断抗体核心原料不少于</w:t>
            </w:r>
            <w:r>
              <w:rPr>
                <w:rFonts w:ascii="仿宋" w:hAnsi="仿宋" w:eastAsia="仿宋"/>
                <w:sz w:val="28"/>
                <w:szCs w:val="28"/>
              </w:rPr>
              <w:t>20</w:t>
            </w:r>
            <w:r>
              <w:rPr>
                <w:rFonts w:hint="eastAsia" w:ascii="仿宋" w:hAnsi="仿宋" w:eastAsia="仿宋"/>
                <w:sz w:val="28"/>
                <w:szCs w:val="28"/>
              </w:rPr>
              <w:t>个；完成不少于</w:t>
            </w:r>
            <w:r>
              <w:rPr>
                <w:rFonts w:ascii="仿宋" w:hAnsi="仿宋" w:eastAsia="仿宋"/>
                <w:sz w:val="28"/>
                <w:szCs w:val="28"/>
              </w:rPr>
              <w:t>50</w:t>
            </w:r>
            <w:r>
              <w:rPr>
                <w:rFonts w:hint="eastAsia" w:ascii="仿宋" w:hAnsi="仿宋" w:eastAsia="仿宋"/>
                <w:sz w:val="28"/>
                <w:szCs w:val="28"/>
              </w:rPr>
              <w:t>项诊断试剂盒技术开发与生产。</w:t>
            </w:r>
          </w:p>
          <w:p>
            <w:pPr>
              <w:spacing w:line="360" w:lineRule="exact"/>
              <w:rPr>
                <w:rFonts w:hint="eastAsia" w:ascii="仿宋" w:hAnsi="仿宋" w:eastAsia="仿宋"/>
                <w:sz w:val="28"/>
                <w:szCs w:val="28"/>
              </w:rPr>
            </w:pPr>
            <w:r>
              <w:rPr>
                <w:rFonts w:ascii="仿宋" w:hAnsi="仿宋" w:eastAsia="仿宋"/>
                <w:sz w:val="28"/>
                <w:szCs w:val="28"/>
              </w:rPr>
              <w:t>3.</w:t>
            </w:r>
            <w:r>
              <w:rPr>
                <w:rFonts w:hint="eastAsia" w:ascii="仿宋" w:hAnsi="仿宋" w:eastAsia="仿宋"/>
                <w:sz w:val="28"/>
                <w:szCs w:val="28"/>
              </w:rPr>
              <w:t>研发不少于</w:t>
            </w:r>
            <w:r>
              <w:rPr>
                <w:rFonts w:ascii="仿宋" w:hAnsi="仿宋" w:eastAsia="仿宋"/>
                <w:sz w:val="28"/>
                <w:szCs w:val="28"/>
              </w:rPr>
              <w:t>300</w:t>
            </w:r>
            <w:r>
              <w:rPr>
                <w:rFonts w:hint="eastAsia" w:ascii="仿宋" w:hAnsi="仿宋" w:eastAsia="仿宋"/>
                <w:sz w:val="28"/>
                <w:szCs w:val="28"/>
              </w:rPr>
              <w:t>个常见疾病包含心血管疾病、代谢性疾病和肿瘤等疾病研究科研抗体。</w:t>
            </w:r>
          </w:p>
          <w:p>
            <w:pPr>
              <w:spacing w:line="360" w:lineRule="exact"/>
              <w:rPr>
                <w:rFonts w:hint="eastAsia" w:ascii="仿宋" w:hAnsi="仿宋" w:eastAsia="仿宋"/>
                <w:sz w:val="28"/>
                <w:szCs w:val="28"/>
              </w:rPr>
            </w:pPr>
            <w:r>
              <w:rPr>
                <w:rFonts w:ascii="仿宋" w:hAnsi="仿宋" w:eastAsia="仿宋"/>
                <w:sz w:val="28"/>
                <w:szCs w:val="28"/>
              </w:rPr>
              <w:t>4.</w:t>
            </w:r>
            <w:r>
              <w:rPr>
                <w:rFonts w:hint="eastAsia" w:ascii="仿宋" w:hAnsi="仿宋" w:eastAsia="仿宋"/>
                <w:sz w:val="28"/>
                <w:szCs w:val="28"/>
              </w:rPr>
              <w:t>申报发明专利</w:t>
            </w:r>
            <w:r>
              <w:rPr>
                <w:rFonts w:ascii="仿宋" w:hAnsi="仿宋" w:eastAsia="仿宋"/>
                <w:sz w:val="28"/>
                <w:szCs w:val="28"/>
              </w:rPr>
              <w:t>50</w:t>
            </w:r>
            <w:r>
              <w:rPr>
                <w:rFonts w:hint="eastAsia" w:ascii="仿宋" w:hAnsi="仿宋" w:eastAsia="仿宋"/>
                <w:sz w:val="28"/>
                <w:szCs w:val="28"/>
              </w:rPr>
              <w:t>件以上。</w:t>
            </w:r>
          </w:p>
          <w:p>
            <w:pPr>
              <w:spacing w:line="360" w:lineRule="exact"/>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实现不少于</w:t>
            </w:r>
            <w:r>
              <w:rPr>
                <w:rFonts w:ascii="仿宋" w:hAnsi="仿宋" w:eastAsia="仿宋"/>
                <w:sz w:val="28"/>
                <w:szCs w:val="28"/>
              </w:rPr>
              <w:t>150</w:t>
            </w:r>
            <w:r>
              <w:rPr>
                <w:rFonts w:hint="eastAsia" w:ascii="仿宋" w:hAnsi="仿宋" w:eastAsia="仿宋"/>
                <w:sz w:val="28"/>
                <w:szCs w:val="28"/>
              </w:rPr>
              <w:t>个以上的产业化产品应用示范。</w:t>
            </w:r>
          </w:p>
        </w:tc>
        <w:tc>
          <w:tcPr>
            <w:tcW w:w="135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3100</w:t>
            </w:r>
          </w:p>
        </w:tc>
        <w:tc>
          <w:tcPr>
            <w:tcW w:w="19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1000</w:t>
            </w:r>
          </w:p>
        </w:tc>
        <w:tc>
          <w:tcPr>
            <w:tcW w:w="15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2100</w:t>
            </w:r>
          </w:p>
          <w:p>
            <w:pPr>
              <w:spacing w:line="400" w:lineRule="exact"/>
              <w:jc w:val="center"/>
              <w:rPr>
                <w:rFonts w:hint="eastAsia" w:ascii="仿宋" w:hAnsi="仿宋" w:eastAsia="仿宋"/>
                <w:sz w:val="28"/>
                <w:szCs w:val="28"/>
              </w:rPr>
            </w:pPr>
            <w:r>
              <w:rPr>
                <w:rFonts w:hint="eastAsia" w:ascii="仿宋" w:hAnsi="仿宋" w:eastAsia="仿宋"/>
                <w:sz w:val="28"/>
                <w:szCs w:val="28"/>
              </w:rPr>
              <w:t>（企业配套2000万元，揭榜单位配套100万元）</w:t>
            </w:r>
          </w:p>
        </w:tc>
        <w:tc>
          <w:tcPr>
            <w:tcW w:w="11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2023年12月前</w:t>
            </w:r>
          </w:p>
        </w:tc>
        <w:tc>
          <w:tcPr>
            <w:tcW w:w="123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章贡区</w:t>
            </w:r>
          </w:p>
        </w:tc>
        <w:tc>
          <w:tcPr>
            <w:tcW w:w="175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张鹏，15727009835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9" w:hRule="atLeast"/>
          <w:jc w:val="center"/>
        </w:trPr>
        <w:tc>
          <w:tcPr>
            <w:tcW w:w="617"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4</w:t>
            </w:r>
          </w:p>
        </w:tc>
        <w:tc>
          <w:tcPr>
            <w:tcW w:w="1422"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精制竹浆的制备关键技术及杂细胞的综合利用</w:t>
            </w:r>
          </w:p>
        </w:tc>
        <w:tc>
          <w:tcPr>
            <w:tcW w:w="1435" w:type="dxa"/>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赣州华赣环境有限公司</w:t>
            </w:r>
          </w:p>
        </w:tc>
        <w:tc>
          <w:tcPr>
            <w:tcW w:w="4562" w:type="dxa"/>
            <w:noWrap w:val="0"/>
            <w:vAlign w:val="center"/>
          </w:tcPr>
          <w:p>
            <w:pPr>
              <w:spacing w:line="400" w:lineRule="exact"/>
              <w:rPr>
                <w:rFonts w:hint="eastAsia" w:ascii="仿宋" w:hAnsi="仿宋" w:eastAsia="仿宋"/>
                <w:sz w:val="28"/>
                <w:szCs w:val="28"/>
              </w:rPr>
            </w:pPr>
            <w:r>
              <w:rPr>
                <w:rFonts w:ascii="仿宋" w:hAnsi="仿宋" w:eastAsia="仿宋"/>
                <w:sz w:val="28"/>
                <w:szCs w:val="28"/>
              </w:rPr>
              <w:t>精制竹浆是一种高纯度纤维素特种化学浆，可用于生产人造纤维、玻璃纸、纤维素醚等高端产品。本揭榜任务是开展基于毛竹的精制竹浆制备关键技术，同时开发副产物杂细胞的绿色分离技术与高附加值应用，使副产物变废为宝，</w:t>
            </w:r>
            <w:r>
              <w:rPr>
                <w:rFonts w:hint="eastAsia" w:ascii="仿宋" w:hAnsi="仿宋" w:eastAsia="仿宋"/>
                <w:sz w:val="28"/>
                <w:szCs w:val="28"/>
              </w:rPr>
              <w:t>全方位</w:t>
            </w:r>
            <w:r>
              <w:rPr>
                <w:rFonts w:ascii="仿宋" w:hAnsi="仿宋" w:eastAsia="仿宋"/>
                <w:sz w:val="28"/>
                <w:szCs w:val="28"/>
              </w:rPr>
              <w:t>提高毛竹的利用率，为毛竹新材料产业化奠定基础。</w:t>
            </w:r>
          </w:p>
        </w:tc>
        <w:tc>
          <w:tcPr>
            <w:tcW w:w="4914" w:type="dxa"/>
            <w:noWrap w:val="0"/>
            <w:vAlign w:val="center"/>
          </w:tcPr>
          <w:p>
            <w:pPr>
              <w:spacing w:line="400" w:lineRule="exact"/>
              <w:rPr>
                <w:rFonts w:hint="eastAsia" w:ascii="仿宋" w:hAnsi="仿宋" w:eastAsia="仿宋"/>
                <w:sz w:val="28"/>
                <w:szCs w:val="28"/>
              </w:rPr>
            </w:pPr>
            <w:r>
              <w:rPr>
                <w:rFonts w:hint="eastAsia"/>
                <w:sz w:val="28"/>
                <w:szCs w:val="28"/>
              </w:rPr>
              <w:t>1.</w:t>
            </w:r>
            <w:r>
              <w:rPr>
                <w:rFonts w:ascii="仿宋" w:hAnsi="仿宋" w:eastAsia="仿宋"/>
                <w:sz w:val="28"/>
                <w:szCs w:val="28"/>
              </w:rPr>
              <w:t>建立1条毛竹精制竹浆中试线，精制竹浆</w:t>
            </w:r>
            <w:r>
              <w:rPr>
                <w:rFonts w:hint="eastAsia" w:ascii="仿宋" w:hAnsi="仿宋" w:eastAsia="仿宋"/>
                <w:sz w:val="28"/>
                <w:szCs w:val="28"/>
              </w:rPr>
              <w:t>聚合度</w:t>
            </w:r>
            <w:r>
              <w:rPr>
                <w:rFonts w:ascii="仿宋" w:hAnsi="仿宋" w:eastAsia="仿宋"/>
                <w:sz w:val="28"/>
                <w:szCs w:val="28"/>
              </w:rPr>
              <w:t>430-550，抗碱性</w:t>
            </w:r>
            <w:r>
              <w:rPr>
                <w:rFonts w:hint="eastAsia" w:ascii="仿宋" w:hAnsi="仿宋" w:eastAsia="仿宋"/>
                <w:sz w:val="28"/>
                <w:szCs w:val="28"/>
              </w:rPr>
              <w:t>≧</w:t>
            </w:r>
            <w:r>
              <w:rPr>
                <w:rFonts w:ascii="仿宋" w:hAnsi="仿宋" w:eastAsia="仿宋"/>
                <w:sz w:val="28"/>
                <w:szCs w:val="28"/>
              </w:rPr>
              <w:t xml:space="preserve"> 90%，灰分</w:t>
            </w:r>
            <w:r>
              <w:rPr>
                <w:rFonts w:hint="eastAsia" w:ascii="仿宋" w:hAnsi="仿宋" w:eastAsia="仿宋"/>
                <w:sz w:val="28"/>
                <w:szCs w:val="28"/>
              </w:rPr>
              <w:t>≦</w:t>
            </w:r>
            <w:r>
              <w:rPr>
                <w:rFonts w:ascii="仿宋" w:hAnsi="仿宋" w:eastAsia="仿宋"/>
                <w:sz w:val="28"/>
                <w:szCs w:val="28"/>
              </w:rPr>
              <w:t xml:space="preserve"> 0.17%，铁含量</w:t>
            </w:r>
            <w:r>
              <w:rPr>
                <w:rFonts w:hint="eastAsia" w:ascii="仿宋" w:hAnsi="仿宋" w:eastAsia="仿宋"/>
                <w:sz w:val="28"/>
                <w:szCs w:val="28"/>
              </w:rPr>
              <w:t>≦</w:t>
            </w:r>
            <w:r>
              <w:rPr>
                <w:rFonts w:ascii="仿宋" w:hAnsi="仿宋" w:eastAsia="仿宋"/>
                <w:sz w:val="28"/>
                <w:szCs w:val="28"/>
              </w:rPr>
              <w:t>20 mg/kg，</w:t>
            </w:r>
            <w:r>
              <w:rPr>
                <w:rFonts w:hint="eastAsia" w:ascii="仿宋" w:hAnsi="仿宋" w:eastAsia="仿宋"/>
                <w:sz w:val="28"/>
                <w:szCs w:val="28"/>
              </w:rPr>
              <w:t>非纤维部分≦</w:t>
            </w:r>
            <w:r>
              <w:rPr>
                <w:rFonts w:ascii="仿宋" w:hAnsi="仿宋" w:eastAsia="仿宋"/>
                <w:sz w:val="28"/>
                <w:szCs w:val="28"/>
              </w:rPr>
              <w:t xml:space="preserve"> </w:t>
            </w:r>
            <w:r>
              <w:rPr>
                <w:rFonts w:hint="eastAsia" w:ascii="仿宋" w:hAnsi="仿宋" w:eastAsia="仿宋"/>
                <w:sz w:val="28"/>
                <w:szCs w:val="28"/>
              </w:rPr>
              <w:t>5.0</w:t>
            </w:r>
            <w:r>
              <w:rPr>
                <w:rFonts w:ascii="仿宋" w:hAnsi="仿宋" w:eastAsia="仿宋"/>
                <w:sz w:val="28"/>
                <w:szCs w:val="28"/>
              </w:rPr>
              <w:t>%</w:t>
            </w:r>
            <w:r>
              <w:rPr>
                <w:rFonts w:hint="eastAsia" w:ascii="仿宋" w:hAnsi="仿宋" w:eastAsia="仿宋"/>
                <w:sz w:val="28"/>
                <w:szCs w:val="28"/>
              </w:rPr>
              <w:t>，在碱/尿素体系溶解率≧</w:t>
            </w:r>
            <w:r>
              <w:rPr>
                <w:rFonts w:ascii="仿宋" w:hAnsi="仿宋" w:eastAsia="仿宋"/>
                <w:sz w:val="28"/>
                <w:szCs w:val="28"/>
              </w:rPr>
              <w:t xml:space="preserve"> 90%</w:t>
            </w:r>
            <w:r>
              <w:rPr>
                <w:rFonts w:hint="eastAsia" w:ascii="仿宋" w:hAnsi="仿宋" w:eastAsia="仿宋"/>
                <w:sz w:val="28"/>
                <w:szCs w:val="28"/>
              </w:rPr>
              <w:t>，得率≧</w:t>
            </w:r>
            <w:r>
              <w:rPr>
                <w:rFonts w:ascii="仿宋" w:hAnsi="仿宋" w:eastAsia="仿宋"/>
                <w:sz w:val="28"/>
                <w:szCs w:val="28"/>
              </w:rPr>
              <w:t xml:space="preserve"> </w:t>
            </w:r>
            <w:r>
              <w:rPr>
                <w:rFonts w:hint="eastAsia" w:ascii="仿宋" w:hAnsi="仿宋" w:eastAsia="仿宋"/>
                <w:sz w:val="28"/>
                <w:szCs w:val="28"/>
              </w:rPr>
              <w:t>2</w:t>
            </w:r>
            <w:r>
              <w:rPr>
                <w:rFonts w:ascii="仿宋" w:hAnsi="仿宋" w:eastAsia="仿宋"/>
                <w:sz w:val="28"/>
                <w:szCs w:val="28"/>
              </w:rPr>
              <w:t>0%；</w:t>
            </w:r>
          </w:p>
          <w:p>
            <w:pPr>
              <w:spacing w:line="400" w:lineRule="exact"/>
              <w:rPr>
                <w:rFonts w:hint="eastAsia" w:ascii="仿宋" w:hAnsi="仿宋" w:eastAsia="仿宋"/>
                <w:sz w:val="28"/>
                <w:szCs w:val="28"/>
              </w:rPr>
            </w:pPr>
            <w:r>
              <w:rPr>
                <w:rFonts w:hint="eastAsia" w:ascii="仿宋" w:hAnsi="仿宋" w:eastAsia="仿宋"/>
                <w:sz w:val="28"/>
                <w:szCs w:val="28"/>
              </w:rPr>
              <w:t>2.毛竹微胶囊</w:t>
            </w:r>
            <w:r>
              <w:rPr>
                <w:rFonts w:ascii="仿宋" w:hAnsi="仿宋" w:eastAsia="仿宋"/>
                <w:sz w:val="28"/>
                <w:szCs w:val="28"/>
              </w:rPr>
              <w:t>：粒度150-250目，单分散的多孔粉体，比表面积</w:t>
            </w:r>
            <w:r>
              <w:rPr>
                <w:rFonts w:hint="eastAsia" w:ascii="仿宋" w:hAnsi="仿宋" w:eastAsia="仿宋"/>
                <w:sz w:val="28"/>
                <w:szCs w:val="28"/>
              </w:rPr>
              <w:t>5</w:t>
            </w:r>
            <w:r>
              <w:rPr>
                <w:rFonts w:ascii="仿宋" w:hAnsi="仿宋" w:eastAsia="仿宋"/>
                <w:sz w:val="28"/>
                <w:szCs w:val="28"/>
              </w:rPr>
              <w:t>-30 m2/g</w:t>
            </w:r>
            <w:r>
              <w:rPr>
                <w:rFonts w:hint="eastAsia" w:ascii="仿宋" w:hAnsi="仿宋" w:eastAsia="仿宋"/>
                <w:sz w:val="28"/>
                <w:szCs w:val="28"/>
              </w:rPr>
              <w:t>，纤维部分≦</w:t>
            </w:r>
            <w:r>
              <w:rPr>
                <w:rFonts w:ascii="仿宋" w:hAnsi="仿宋" w:eastAsia="仿宋"/>
                <w:sz w:val="28"/>
                <w:szCs w:val="28"/>
              </w:rPr>
              <w:t xml:space="preserve"> </w:t>
            </w:r>
            <w:r>
              <w:rPr>
                <w:rFonts w:hint="eastAsia" w:ascii="仿宋" w:hAnsi="仿宋" w:eastAsia="仿宋"/>
                <w:sz w:val="28"/>
                <w:szCs w:val="28"/>
              </w:rPr>
              <w:t>5.0</w:t>
            </w:r>
            <w:r>
              <w:rPr>
                <w:rFonts w:ascii="仿宋" w:hAnsi="仿宋" w:eastAsia="仿宋"/>
                <w:sz w:val="28"/>
                <w:szCs w:val="28"/>
              </w:rPr>
              <w:t>%</w:t>
            </w:r>
            <w:r>
              <w:rPr>
                <w:rFonts w:hint="eastAsia" w:ascii="仿宋" w:hAnsi="仿宋" w:eastAsia="仿宋"/>
                <w:sz w:val="28"/>
                <w:szCs w:val="28"/>
              </w:rPr>
              <w:t>，得率≧</w:t>
            </w:r>
            <w:r>
              <w:rPr>
                <w:rFonts w:ascii="仿宋" w:hAnsi="仿宋" w:eastAsia="仿宋"/>
                <w:sz w:val="28"/>
                <w:szCs w:val="28"/>
              </w:rPr>
              <w:t xml:space="preserve"> </w:t>
            </w:r>
            <w:r>
              <w:rPr>
                <w:rFonts w:hint="eastAsia" w:ascii="仿宋" w:hAnsi="仿宋" w:eastAsia="仿宋"/>
                <w:sz w:val="28"/>
                <w:szCs w:val="28"/>
              </w:rPr>
              <w:t>20</w:t>
            </w:r>
            <w:r>
              <w:rPr>
                <w:rFonts w:ascii="仿宋" w:hAnsi="仿宋" w:eastAsia="仿宋"/>
                <w:sz w:val="28"/>
                <w:szCs w:val="28"/>
              </w:rPr>
              <w:t>%；</w:t>
            </w:r>
          </w:p>
          <w:p>
            <w:pPr>
              <w:spacing w:line="400" w:lineRule="exact"/>
              <w:rPr>
                <w:rFonts w:hint="eastAsia" w:ascii="仿宋" w:hAnsi="仿宋" w:eastAsia="仿宋"/>
                <w:sz w:val="28"/>
                <w:szCs w:val="28"/>
              </w:rPr>
            </w:pPr>
            <w:r>
              <w:rPr>
                <w:rFonts w:hint="eastAsia" w:ascii="仿宋" w:hAnsi="仿宋" w:eastAsia="仿宋"/>
                <w:sz w:val="28"/>
                <w:szCs w:val="28"/>
              </w:rPr>
              <w:t>3.</w:t>
            </w:r>
            <w:r>
              <w:rPr>
                <w:rFonts w:ascii="仿宋" w:hAnsi="仿宋" w:eastAsia="仿宋"/>
                <w:sz w:val="28"/>
                <w:szCs w:val="28"/>
              </w:rPr>
              <w:t>食品、医药级高性能</w:t>
            </w:r>
            <w:r>
              <w:rPr>
                <w:rFonts w:hint="eastAsia" w:ascii="仿宋" w:hAnsi="仿宋" w:eastAsia="仿宋"/>
                <w:sz w:val="28"/>
                <w:szCs w:val="28"/>
              </w:rPr>
              <w:t>毛竹</w:t>
            </w:r>
            <w:r>
              <w:rPr>
                <w:rFonts w:ascii="仿宋" w:hAnsi="仿宋" w:eastAsia="仿宋"/>
                <w:sz w:val="28"/>
                <w:szCs w:val="28"/>
              </w:rPr>
              <w:t>活性炭：</w:t>
            </w:r>
            <w:bookmarkStart w:id="0" w:name="OLE_LINK2"/>
            <w:r>
              <w:rPr>
                <w:rFonts w:ascii="仿宋" w:hAnsi="仿宋" w:eastAsia="仿宋"/>
                <w:sz w:val="28"/>
                <w:szCs w:val="28"/>
              </w:rPr>
              <w:t>粒度250-350目，</w:t>
            </w:r>
            <w:bookmarkEnd w:id="0"/>
            <w:r>
              <w:rPr>
                <w:rFonts w:ascii="仿宋" w:hAnsi="仿宋" w:eastAsia="仿宋"/>
                <w:sz w:val="28"/>
                <w:szCs w:val="28"/>
              </w:rPr>
              <w:t>比表面积</w:t>
            </w:r>
            <w:r>
              <w:rPr>
                <w:rFonts w:hint="eastAsia" w:ascii="仿宋" w:hAnsi="仿宋" w:eastAsia="仿宋"/>
                <w:sz w:val="28"/>
                <w:szCs w:val="28"/>
              </w:rPr>
              <w:t>5</w:t>
            </w:r>
            <w:r>
              <w:rPr>
                <w:rFonts w:ascii="仿宋" w:hAnsi="仿宋" w:eastAsia="仿宋"/>
                <w:sz w:val="28"/>
                <w:szCs w:val="28"/>
              </w:rPr>
              <w:t>00-1100 m2/g，孔容积</w:t>
            </w:r>
            <w:r>
              <w:rPr>
                <w:rFonts w:hint="eastAsia" w:ascii="仿宋" w:hAnsi="仿宋" w:eastAsia="仿宋"/>
                <w:sz w:val="28"/>
                <w:szCs w:val="28"/>
              </w:rPr>
              <w:t>≧</w:t>
            </w:r>
            <w:r>
              <w:rPr>
                <w:rFonts w:ascii="仿宋" w:hAnsi="仿宋" w:eastAsia="仿宋"/>
                <w:sz w:val="28"/>
                <w:szCs w:val="28"/>
              </w:rPr>
              <w:t>0.80 cm3/g，碘吸附值</w:t>
            </w:r>
            <w:r>
              <w:rPr>
                <w:rFonts w:hint="eastAsia" w:ascii="仿宋" w:hAnsi="仿宋" w:eastAsia="仿宋"/>
                <w:sz w:val="28"/>
                <w:szCs w:val="28"/>
              </w:rPr>
              <w:t>≧</w:t>
            </w:r>
            <w:r>
              <w:rPr>
                <w:rFonts w:ascii="仿宋" w:hAnsi="仿宋" w:eastAsia="仿宋"/>
                <w:sz w:val="28"/>
                <w:szCs w:val="28"/>
              </w:rPr>
              <w:t xml:space="preserve"> 400，水溶性灰分</w:t>
            </w:r>
            <w:bookmarkStart w:id="1" w:name="OLE_LINK1"/>
            <w:r>
              <w:rPr>
                <w:rFonts w:hint="eastAsia" w:ascii="仿宋" w:hAnsi="仿宋" w:eastAsia="仿宋"/>
                <w:sz w:val="28"/>
                <w:szCs w:val="28"/>
              </w:rPr>
              <w:t>≦</w:t>
            </w:r>
            <w:r>
              <w:rPr>
                <w:rFonts w:ascii="仿宋" w:hAnsi="仿宋" w:eastAsia="仿宋"/>
                <w:sz w:val="28"/>
                <w:szCs w:val="28"/>
              </w:rPr>
              <w:t xml:space="preserve"> 4%</w:t>
            </w:r>
            <w:bookmarkEnd w:id="1"/>
            <w:r>
              <w:rPr>
                <w:rFonts w:ascii="仿宋" w:hAnsi="仿宋" w:eastAsia="仿宋"/>
                <w:sz w:val="28"/>
                <w:szCs w:val="28"/>
              </w:rPr>
              <w:t>，重金属</w:t>
            </w:r>
            <w:r>
              <w:rPr>
                <w:rFonts w:hint="eastAsia" w:ascii="仿宋" w:hAnsi="仿宋" w:eastAsia="仿宋"/>
                <w:sz w:val="28"/>
                <w:szCs w:val="28"/>
              </w:rPr>
              <w:t>≦</w:t>
            </w:r>
            <w:r>
              <w:rPr>
                <w:rFonts w:ascii="仿宋" w:hAnsi="仿宋" w:eastAsia="仿宋"/>
                <w:sz w:val="28"/>
                <w:szCs w:val="28"/>
              </w:rPr>
              <w:t xml:space="preserve"> 0.01%。（4）申请发明专利5-6个，制定相关标准1-2项。</w:t>
            </w:r>
          </w:p>
        </w:tc>
        <w:tc>
          <w:tcPr>
            <w:tcW w:w="135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3000</w:t>
            </w:r>
          </w:p>
        </w:tc>
        <w:tc>
          <w:tcPr>
            <w:tcW w:w="19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1000</w:t>
            </w:r>
          </w:p>
        </w:tc>
        <w:tc>
          <w:tcPr>
            <w:tcW w:w="15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2000</w:t>
            </w:r>
          </w:p>
        </w:tc>
        <w:tc>
          <w:tcPr>
            <w:tcW w:w="117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2023年12月前</w:t>
            </w:r>
          </w:p>
        </w:tc>
        <w:tc>
          <w:tcPr>
            <w:tcW w:w="123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章贡区</w:t>
            </w:r>
          </w:p>
        </w:tc>
        <w:tc>
          <w:tcPr>
            <w:tcW w:w="1756"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罗小冬，18621212288</w:t>
            </w:r>
          </w:p>
        </w:tc>
      </w:tr>
    </w:tbl>
    <w:p>
      <w:pPr>
        <w:pStyle w:val="2"/>
        <w:sectPr>
          <w:pgSz w:w="23814" w:h="16840" w:orient="landscape"/>
          <w:pgMar w:top="1559" w:right="1134" w:bottom="1559" w:left="1134" w:header="851" w:footer="1588" w:gutter="0"/>
          <w:cols w:space="720" w:num="1"/>
          <w:docGrid w:type="linesAndChars" w:linePitch="332" w:charSpace="0"/>
        </w:sectPr>
      </w:pPr>
    </w:p>
    <w:p>
      <w:pPr>
        <w:pStyle w:val="2"/>
        <w:rPr>
          <w:rFonts w:hint="eastAsia"/>
          <w:lang w:eastAsia="zh-CN"/>
        </w:rPr>
      </w:pPr>
    </w:p>
    <w:sectPr>
      <w:footerReference r:id="rId3" w:type="default"/>
      <w:footerReference r:id="rId4" w:type="even"/>
      <w:pgSz w:w="11906" w:h="16838"/>
      <w:pgMar w:top="1843" w:right="1559" w:bottom="1843" w:left="1559"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firstLine="294" w:firstLineChars="105"/>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26</w:t>
    </w:r>
    <w:r>
      <w:rPr>
        <w:sz w:val="28"/>
        <w:szCs w:val="28"/>
      </w:rPr>
      <w:fldChar w:fldCharType="end"/>
    </w:r>
    <w:r>
      <w:rPr>
        <w:rStyle w:val="9"/>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E0618"/>
    <w:rsid w:val="1BA434D2"/>
    <w:rsid w:val="615E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53" w:lineRule="auto"/>
      <w:ind w:firstLine="624" w:firstLineChars="200"/>
      <w:outlineLvl w:val="0"/>
    </w:pPr>
    <w:rPr>
      <w:rFonts w:ascii="Calibri" w:hAnsi="Calibri" w:eastAsia="黑体" w:cs="Times New Roman"/>
      <w:kern w:val="0"/>
      <w:sz w:val="20"/>
      <w:szCs w:val="2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annotation text"/>
    <w:basedOn w:val="1"/>
    <w:qFormat/>
    <w:uiPriority w:val="99"/>
    <w:pPr>
      <w:jc w:val="left"/>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2021-08-26T02:36:00Z</dcterms:created>
  <dc:creator>Administrator</dc:creator>
  <cp:lastModifiedBy>disjctlee</cp:lastModifiedBy>
  <dcterms:modified xsi:type="dcterms:W3CDTF">2021-08-26T03:38:46Z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05148A624EE240A7AD33EDABA0BF01D5</vt:lpwstr>
  </property>
</Properties>
</file>