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default" w:ascii="宋体" w:hAnsi="宋体" w:eastAsia="楷体_GB2312" w:cs="仿宋_GB2312"/>
          <w:color w:val="000000"/>
          <w:kern w:val="0"/>
          <w:sz w:val="28"/>
          <w:szCs w:val="28"/>
          <w:lang w:val="e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赣州市商务局涉企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行政执法事项清单</w:t>
      </w:r>
    </w:p>
    <w:tbl>
      <w:tblPr>
        <w:tblStyle w:val="4"/>
        <w:tblW w:w="13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51"/>
        <w:gridCol w:w="1464"/>
        <w:gridCol w:w="1987"/>
        <w:gridCol w:w="7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事项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20"/>
                <w:kern w:val="0"/>
                <w:sz w:val="28"/>
                <w:szCs w:val="28"/>
              </w:rPr>
              <w:t>执法类别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执法主体</w:t>
            </w:r>
          </w:p>
        </w:tc>
        <w:tc>
          <w:tcPr>
            <w:tcW w:w="7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执法依据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对国内贸易行业的检查</w:t>
            </w:r>
          </w:p>
        </w:tc>
        <w:tc>
          <w:tcPr>
            <w:tcW w:w="1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行政检查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赣州市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商务局</w:t>
            </w:r>
          </w:p>
        </w:tc>
        <w:tc>
          <w:tcPr>
            <w:tcW w:w="7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《商业特许经营管理条例》（国务院令第485号）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《国务院办公厅关于加快发展流通促进商业消费的意见》（国办发〔2019〕42号）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《江西省商务厅关于印发&lt;江西省成品油市场管理实施办法&gt;（试行的通知）》（赣商商贸字〔2010〕17号）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《报废机动车回收管理办法》（国务院令第715号）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《二手车流通管理办法》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商务部、公安部、工商总局、税务总局令2005年第2号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对对外贸易行业的行政检查</w:t>
            </w:r>
          </w:p>
        </w:tc>
        <w:tc>
          <w:tcPr>
            <w:tcW w:w="1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行政检查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赣州市商务局</w:t>
            </w:r>
          </w:p>
        </w:tc>
        <w:tc>
          <w:tcPr>
            <w:tcW w:w="7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《中华人民共和国技术进出口管理条例》（国务院令第331号公布，第732号修正）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《技术进出口合同登记管理办法》（商务部令2009年第3号）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《对外贸易经营者备案登记办法》（商务部令2004年第14号）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对对外投资和经济合作行业的检查</w:t>
            </w:r>
          </w:p>
        </w:tc>
        <w:tc>
          <w:tcPr>
            <w:tcW w:w="1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行政检查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赣州市商务局</w:t>
            </w:r>
          </w:p>
        </w:tc>
        <w:tc>
          <w:tcPr>
            <w:tcW w:w="7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《对外劳务合作管理条例》（国务院令第620号）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对外国投资者、外商投资企业的检查</w:t>
            </w:r>
          </w:p>
        </w:tc>
        <w:tc>
          <w:tcPr>
            <w:tcW w:w="14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行政检查</w:t>
            </w:r>
          </w:p>
        </w:tc>
        <w:tc>
          <w:tcPr>
            <w:tcW w:w="19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赣州市商务局</w:t>
            </w:r>
          </w:p>
        </w:tc>
        <w:tc>
          <w:tcPr>
            <w:tcW w:w="7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《外商投资信息报告办法》（商务部、市场监管总局令2019年第2号）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40379"/>
    <w:rsid w:val="0DB23024"/>
    <w:rsid w:val="12697A58"/>
    <w:rsid w:val="1BA639D1"/>
    <w:rsid w:val="321977A7"/>
    <w:rsid w:val="534645C7"/>
    <w:rsid w:val="53524011"/>
    <w:rsid w:val="73B453A3"/>
    <w:rsid w:val="7C140379"/>
    <w:rsid w:val="FFFF0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2022-05-13T11:36:00Z</dcterms:created>
  <dc:creator>Administrator</dc:creator>
  <cp:lastModifiedBy>user</cp:lastModifiedBy>
  <dcterms:modified xsi:type="dcterms:W3CDTF">2022-05-13T16:18:59Z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